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6AE" w:rsidRPr="00CF6794" w:rsidRDefault="000636AE" w:rsidP="000636AE">
      <w:pPr>
        <w:jc w:val="center"/>
        <w:rPr>
          <w:b/>
          <w:color w:val="000000" w:themeColor="text1"/>
          <w:sz w:val="26"/>
          <w:szCs w:val="26"/>
        </w:rPr>
      </w:pPr>
    </w:p>
    <w:p w:rsidR="000636AE" w:rsidRPr="00CF6794" w:rsidRDefault="000636AE" w:rsidP="000636AE">
      <w:pPr>
        <w:jc w:val="center"/>
        <w:rPr>
          <w:b/>
          <w:color w:val="000000" w:themeColor="text1"/>
          <w:sz w:val="26"/>
          <w:szCs w:val="26"/>
        </w:rPr>
      </w:pPr>
    </w:p>
    <w:p w:rsidR="000636AE" w:rsidRPr="00CF6794" w:rsidRDefault="000636AE" w:rsidP="000636AE">
      <w:pPr>
        <w:spacing w:line="276" w:lineRule="auto"/>
        <w:jc w:val="center"/>
        <w:rPr>
          <w:b/>
          <w:color w:val="000000" w:themeColor="text1"/>
          <w:sz w:val="26"/>
          <w:szCs w:val="26"/>
        </w:rPr>
      </w:pPr>
      <w:r w:rsidRPr="00CF6794">
        <w:rPr>
          <w:b/>
          <w:color w:val="000000" w:themeColor="text1"/>
          <w:sz w:val="26"/>
          <w:szCs w:val="26"/>
        </w:rPr>
        <w:t>RESOLUCIÓN No. TAT-</w:t>
      </w:r>
      <w:r w:rsidR="00232A1F">
        <w:rPr>
          <w:b/>
          <w:color w:val="000000" w:themeColor="text1"/>
          <w:sz w:val="26"/>
          <w:szCs w:val="26"/>
        </w:rPr>
        <w:t>2967</w:t>
      </w:r>
      <w:r w:rsidRPr="00CF6794">
        <w:rPr>
          <w:b/>
          <w:color w:val="000000" w:themeColor="text1"/>
          <w:sz w:val="26"/>
          <w:szCs w:val="26"/>
        </w:rPr>
        <w:t>-2016</w:t>
      </w:r>
    </w:p>
    <w:p w:rsidR="000636AE" w:rsidRPr="00CF6794" w:rsidRDefault="000636AE" w:rsidP="006D3031">
      <w:pPr>
        <w:pStyle w:val="Sinespaciado"/>
      </w:pPr>
    </w:p>
    <w:p w:rsidR="000636AE" w:rsidRPr="00CF6794" w:rsidRDefault="000636AE" w:rsidP="000636AE">
      <w:pPr>
        <w:spacing w:line="276" w:lineRule="auto"/>
        <w:jc w:val="both"/>
        <w:rPr>
          <w:b/>
          <w:color w:val="000000" w:themeColor="text1"/>
          <w:sz w:val="26"/>
          <w:szCs w:val="26"/>
        </w:rPr>
      </w:pPr>
    </w:p>
    <w:p w:rsidR="000636AE" w:rsidRPr="00CF6794" w:rsidRDefault="000636AE" w:rsidP="000636AE">
      <w:pPr>
        <w:pStyle w:val="Sinespaciado"/>
        <w:spacing w:line="276" w:lineRule="auto"/>
        <w:jc w:val="both"/>
        <w:rPr>
          <w:color w:val="000000" w:themeColor="text1"/>
          <w:sz w:val="26"/>
          <w:szCs w:val="26"/>
          <w:lang w:val="es-CR"/>
        </w:rPr>
      </w:pPr>
      <w:r w:rsidRPr="00CF6794">
        <w:rPr>
          <w:b/>
          <w:color w:val="000000" w:themeColor="text1"/>
          <w:sz w:val="26"/>
          <w:szCs w:val="26"/>
          <w:lang w:val="es-CR"/>
        </w:rPr>
        <w:t xml:space="preserve">TRIBUNAL ADMINISTRATIVO DE TRANSPORTE.  </w:t>
      </w:r>
      <w:r w:rsidRPr="00CF6794">
        <w:rPr>
          <w:color w:val="000000" w:themeColor="text1"/>
          <w:sz w:val="26"/>
          <w:szCs w:val="26"/>
          <w:lang w:val="es-CR"/>
        </w:rPr>
        <w:t xml:space="preserve">Curridabat, a las diez horas con </w:t>
      </w:r>
      <w:r w:rsidR="00232A1F">
        <w:rPr>
          <w:color w:val="000000" w:themeColor="text1"/>
          <w:sz w:val="26"/>
          <w:szCs w:val="26"/>
          <w:lang w:val="es-CR"/>
        </w:rPr>
        <w:t>quince</w:t>
      </w:r>
      <w:r w:rsidRPr="00CF6794">
        <w:rPr>
          <w:color w:val="000000" w:themeColor="text1"/>
          <w:sz w:val="26"/>
          <w:szCs w:val="26"/>
          <w:lang w:val="es-CR"/>
        </w:rPr>
        <w:t xml:space="preserve"> minutos del</w:t>
      </w:r>
      <w:r w:rsidR="00232A1F">
        <w:rPr>
          <w:color w:val="000000" w:themeColor="text1"/>
          <w:sz w:val="26"/>
          <w:szCs w:val="26"/>
          <w:lang w:val="es-CR"/>
        </w:rPr>
        <w:t xml:space="preserve"> día Dos de Mayo</w:t>
      </w:r>
      <w:r w:rsidRPr="00CF6794">
        <w:rPr>
          <w:color w:val="000000" w:themeColor="text1"/>
          <w:sz w:val="26"/>
          <w:szCs w:val="26"/>
          <w:lang w:val="es-CR"/>
        </w:rPr>
        <w:t xml:space="preserve"> del Dos Mil Dieciséis.-----------------</w:t>
      </w:r>
      <w:r w:rsidR="00232A1F">
        <w:rPr>
          <w:color w:val="000000" w:themeColor="text1"/>
          <w:sz w:val="26"/>
          <w:szCs w:val="26"/>
          <w:lang w:val="es-CR"/>
        </w:rPr>
        <w:t>-</w:t>
      </w:r>
    </w:p>
    <w:p w:rsidR="000636AE" w:rsidRPr="00CF6794" w:rsidRDefault="000636AE" w:rsidP="000636AE">
      <w:pPr>
        <w:spacing w:line="276" w:lineRule="auto"/>
        <w:jc w:val="both"/>
        <w:rPr>
          <w:color w:val="000000" w:themeColor="text1"/>
          <w:sz w:val="26"/>
          <w:szCs w:val="26"/>
          <w:lang w:val="es-CR"/>
        </w:rPr>
      </w:pPr>
    </w:p>
    <w:p w:rsidR="000636AE" w:rsidRPr="00CF6794" w:rsidRDefault="000636AE" w:rsidP="000636AE">
      <w:pPr>
        <w:spacing w:line="276" w:lineRule="auto"/>
        <w:jc w:val="both"/>
        <w:rPr>
          <w:b/>
          <w:i/>
          <w:color w:val="000000" w:themeColor="text1"/>
          <w:sz w:val="26"/>
          <w:szCs w:val="26"/>
        </w:rPr>
      </w:pPr>
      <w:r w:rsidRPr="00CF6794">
        <w:rPr>
          <w:color w:val="000000" w:themeColor="text1"/>
          <w:sz w:val="26"/>
          <w:szCs w:val="26"/>
        </w:rPr>
        <w:t>Se conoce</w:t>
      </w:r>
      <w:r w:rsidRPr="00CF6794">
        <w:rPr>
          <w:color w:val="2F5496" w:themeColor="accent5" w:themeShade="BF"/>
          <w:sz w:val="26"/>
          <w:szCs w:val="26"/>
        </w:rPr>
        <w:t xml:space="preserve"> </w:t>
      </w:r>
      <w:r w:rsidRPr="00CF6794">
        <w:rPr>
          <w:b/>
          <w:smallCaps/>
          <w:color w:val="000000" w:themeColor="text1"/>
          <w:sz w:val="26"/>
          <w:szCs w:val="26"/>
        </w:rPr>
        <w:t xml:space="preserve">Recurso de </w:t>
      </w:r>
      <w:r w:rsidR="00826A21" w:rsidRPr="00CF6794">
        <w:rPr>
          <w:b/>
          <w:smallCaps/>
          <w:color w:val="000000" w:themeColor="text1"/>
          <w:sz w:val="26"/>
          <w:szCs w:val="26"/>
        </w:rPr>
        <w:t>A</w:t>
      </w:r>
      <w:r w:rsidRPr="00CF6794">
        <w:rPr>
          <w:b/>
          <w:smallCaps/>
          <w:color w:val="000000" w:themeColor="text1"/>
          <w:sz w:val="26"/>
          <w:szCs w:val="26"/>
        </w:rPr>
        <w:t>pelación en subsidio</w:t>
      </w:r>
      <w:r w:rsidRPr="00CF6794">
        <w:rPr>
          <w:smallCaps/>
          <w:color w:val="000000" w:themeColor="text1"/>
          <w:sz w:val="26"/>
          <w:szCs w:val="26"/>
        </w:rPr>
        <w:t>,</w:t>
      </w:r>
      <w:r w:rsidRPr="00CF6794">
        <w:rPr>
          <w:b/>
          <w:smallCaps/>
          <w:color w:val="000000" w:themeColor="text1"/>
          <w:sz w:val="26"/>
          <w:szCs w:val="26"/>
        </w:rPr>
        <w:t xml:space="preserve"> </w:t>
      </w:r>
      <w:r w:rsidRPr="00CF6794">
        <w:rPr>
          <w:color w:val="000000" w:themeColor="text1"/>
          <w:sz w:val="26"/>
          <w:szCs w:val="26"/>
        </w:rPr>
        <w:t xml:space="preserve">interpuesto por </w:t>
      </w:r>
      <w:r w:rsidR="00826A21" w:rsidRPr="00CF6794">
        <w:rPr>
          <w:color w:val="000000" w:themeColor="text1"/>
          <w:sz w:val="26"/>
          <w:szCs w:val="26"/>
        </w:rPr>
        <w:t>e</w:t>
      </w:r>
      <w:r w:rsidRPr="00CF6794">
        <w:rPr>
          <w:color w:val="000000" w:themeColor="text1"/>
          <w:sz w:val="26"/>
          <w:szCs w:val="26"/>
        </w:rPr>
        <w:t xml:space="preserve">l </w:t>
      </w:r>
      <w:r w:rsidR="00826A21" w:rsidRPr="00CF6794">
        <w:rPr>
          <w:color w:val="000000" w:themeColor="text1"/>
          <w:sz w:val="26"/>
          <w:szCs w:val="26"/>
        </w:rPr>
        <w:t xml:space="preserve">Señor </w:t>
      </w:r>
      <w:r w:rsidR="00353EFA">
        <w:rPr>
          <w:b/>
          <w:color w:val="000000" w:themeColor="text1"/>
          <w:sz w:val="26"/>
          <w:szCs w:val="26"/>
        </w:rPr>
        <w:t>MVVC</w:t>
      </w:r>
      <w:r w:rsidR="00826A21" w:rsidRPr="00CF6794">
        <w:rPr>
          <w:color w:val="000000" w:themeColor="text1"/>
          <w:sz w:val="26"/>
          <w:szCs w:val="26"/>
        </w:rPr>
        <w:t>, de calidades conocidas y</w:t>
      </w:r>
      <w:r w:rsidRPr="00CF6794">
        <w:rPr>
          <w:color w:val="000000" w:themeColor="text1"/>
          <w:sz w:val="26"/>
          <w:szCs w:val="26"/>
        </w:rPr>
        <w:t xml:space="preserve"> portador de la cédula de </w:t>
      </w:r>
      <w:r w:rsidR="00826A21" w:rsidRPr="00CF6794">
        <w:rPr>
          <w:color w:val="000000" w:themeColor="text1"/>
          <w:sz w:val="26"/>
          <w:szCs w:val="26"/>
        </w:rPr>
        <w:t xml:space="preserve">identidad número </w:t>
      </w:r>
      <w:r w:rsidR="00353EFA">
        <w:rPr>
          <w:color w:val="000000" w:themeColor="text1"/>
          <w:sz w:val="26"/>
          <w:szCs w:val="26"/>
        </w:rPr>
        <w:t>…</w:t>
      </w:r>
      <w:r w:rsidRPr="00CF6794">
        <w:rPr>
          <w:color w:val="000000" w:themeColor="text1"/>
          <w:sz w:val="26"/>
          <w:szCs w:val="26"/>
        </w:rPr>
        <w:t xml:space="preserve">; contra el </w:t>
      </w:r>
      <w:r w:rsidRPr="00CF6794">
        <w:rPr>
          <w:b/>
          <w:color w:val="000000" w:themeColor="text1"/>
          <w:sz w:val="26"/>
          <w:szCs w:val="26"/>
        </w:rPr>
        <w:t>Artículo 7.2</w:t>
      </w:r>
      <w:r w:rsidR="00826A21" w:rsidRPr="00CF6794">
        <w:rPr>
          <w:b/>
          <w:color w:val="000000" w:themeColor="text1"/>
          <w:sz w:val="26"/>
          <w:szCs w:val="26"/>
        </w:rPr>
        <w:t>.7</w:t>
      </w:r>
      <w:r w:rsidRPr="00CF6794">
        <w:rPr>
          <w:b/>
          <w:color w:val="000000" w:themeColor="text1"/>
          <w:sz w:val="26"/>
          <w:szCs w:val="26"/>
        </w:rPr>
        <w:t xml:space="preserve"> de la Sesión Ordinaria N. </w:t>
      </w:r>
      <w:r w:rsidR="00826A21" w:rsidRPr="00CF6794">
        <w:rPr>
          <w:b/>
          <w:color w:val="000000" w:themeColor="text1"/>
          <w:sz w:val="26"/>
          <w:szCs w:val="26"/>
        </w:rPr>
        <w:t>61</w:t>
      </w:r>
      <w:r w:rsidRPr="00CF6794">
        <w:rPr>
          <w:b/>
          <w:color w:val="000000" w:themeColor="text1"/>
          <w:sz w:val="26"/>
          <w:szCs w:val="26"/>
        </w:rPr>
        <w:t>-2015</w:t>
      </w:r>
      <w:r w:rsidRPr="00CF6794">
        <w:rPr>
          <w:color w:val="000000" w:themeColor="text1"/>
          <w:sz w:val="26"/>
          <w:szCs w:val="26"/>
        </w:rPr>
        <w:t xml:space="preserve">, celebrada el </w:t>
      </w:r>
      <w:r w:rsidR="00826A21" w:rsidRPr="00CF6794">
        <w:rPr>
          <w:color w:val="000000" w:themeColor="text1"/>
          <w:sz w:val="26"/>
          <w:szCs w:val="26"/>
        </w:rPr>
        <w:t>04</w:t>
      </w:r>
      <w:r w:rsidRPr="00CF6794">
        <w:rPr>
          <w:color w:val="000000" w:themeColor="text1"/>
          <w:sz w:val="26"/>
          <w:szCs w:val="26"/>
        </w:rPr>
        <w:t xml:space="preserve"> de </w:t>
      </w:r>
      <w:r w:rsidR="00826A21" w:rsidRPr="00CF6794">
        <w:rPr>
          <w:color w:val="000000" w:themeColor="text1"/>
          <w:sz w:val="26"/>
          <w:szCs w:val="26"/>
        </w:rPr>
        <w:t>Noviembre</w:t>
      </w:r>
      <w:r w:rsidRPr="00CF6794">
        <w:rPr>
          <w:color w:val="000000" w:themeColor="text1"/>
          <w:sz w:val="26"/>
          <w:szCs w:val="26"/>
        </w:rPr>
        <w:t xml:space="preserve"> del 2015 por la Junta Directiva del Consejo de Transporte Público</w:t>
      </w:r>
      <w:r w:rsidR="00826A21" w:rsidRPr="00CF6794">
        <w:rPr>
          <w:color w:val="000000" w:themeColor="text1"/>
          <w:sz w:val="26"/>
          <w:szCs w:val="26"/>
        </w:rPr>
        <w:t xml:space="preserve">.- </w:t>
      </w:r>
      <w:r w:rsidRPr="00CF6794">
        <w:rPr>
          <w:b/>
          <w:i/>
          <w:color w:val="000000" w:themeColor="text1"/>
          <w:sz w:val="26"/>
          <w:szCs w:val="26"/>
        </w:rPr>
        <w:t>EXPEDIENTE ADMINISTRATIVO NO. TAT-0</w:t>
      </w:r>
      <w:r w:rsidR="00826A21" w:rsidRPr="00CF6794">
        <w:rPr>
          <w:b/>
          <w:i/>
          <w:color w:val="000000" w:themeColor="text1"/>
          <w:sz w:val="26"/>
          <w:szCs w:val="26"/>
        </w:rPr>
        <w:t>28</w:t>
      </w:r>
      <w:r w:rsidRPr="00CF6794">
        <w:rPr>
          <w:b/>
          <w:i/>
          <w:color w:val="000000" w:themeColor="text1"/>
          <w:sz w:val="26"/>
          <w:szCs w:val="26"/>
        </w:rPr>
        <w:t>-16.</w:t>
      </w:r>
    </w:p>
    <w:p w:rsidR="000636AE" w:rsidRPr="00CF6794" w:rsidRDefault="000636AE" w:rsidP="000636AE">
      <w:pPr>
        <w:spacing w:line="276" w:lineRule="auto"/>
        <w:jc w:val="both"/>
        <w:rPr>
          <w:b/>
          <w:i/>
          <w:color w:val="000000" w:themeColor="text1"/>
          <w:sz w:val="26"/>
          <w:szCs w:val="26"/>
          <w:lang w:val="es-ES"/>
        </w:rPr>
      </w:pPr>
    </w:p>
    <w:p w:rsidR="000636AE" w:rsidRPr="00CF6794" w:rsidRDefault="000636AE" w:rsidP="000636AE">
      <w:pPr>
        <w:spacing w:line="276" w:lineRule="auto"/>
        <w:jc w:val="center"/>
        <w:rPr>
          <w:b/>
          <w:i/>
          <w:color w:val="000000" w:themeColor="text1"/>
          <w:sz w:val="26"/>
          <w:szCs w:val="26"/>
        </w:rPr>
      </w:pPr>
      <w:r w:rsidRPr="00CF6794">
        <w:rPr>
          <w:b/>
          <w:i/>
          <w:color w:val="000000" w:themeColor="text1"/>
          <w:sz w:val="26"/>
          <w:szCs w:val="26"/>
        </w:rPr>
        <w:t xml:space="preserve">Resultando </w:t>
      </w:r>
    </w:p>
    <w:p w:rsidR="000636AE" w:rsidRPr="00CF6794" w:rsidRDefault="000636AE" w:rsidP="000636AE">
      <w:pPr>
        <w:spacing w:line="276" w:lineRule="auto"/>
        <w:jc w:val="both"/>
        <w:rPr>
          <w:b/>
          <w:color w:val="000000" w:themeColor="text1"/>
          <w:sz w:val="26"/>
          <w:szCs w:val="26"/>
        </w:rPr>
      </w:pPr>
    </w:p>
    <w:p w:rsidR="000636AE" w:rsidRPr="00CF6794" w:rsidRDefault="000636AE" w:rsidP="000636AE">
      <w:pPr>
        <w:spacing w:line="276" w:lineRule="auto"/>
        <w:jc w:val="both"/>
        <w:rPr>
          <w:color w:val="000000" w:themeColor="text1"/>
          <w:sz w:val="26"/>
          <w:szCs w:val="26"/>
        </w:rPr>
      </w:pPr>
      <w:r w:rsidRPr="00CF6794">
        <w:rPr>
          <w:b/>
          <w:color w:val="000000" w:themeColor="text1"/>
          <w:sz w:val="26"/>
          <w:szCs w:val="26"/>
        </w:rPr>
        <w:t>1.-</w:t>
      </w:r>
      <w:r w:rsidRPr="00CF6794">
        <w:rPr>
          <w:b/>
          <w:color w:val="000000" w:themeColor="text1"/>
          <w:sz w:val="26"/>
          <w:szCs w:val="26"/>
        </w:rPr>
        <w:tab/>
      </w:r>
      <w:r w:rsidRPr="00CF6794">
        <w:rPr>
          <w:color w:val="000000" w:themeColor="text1"/>
          <w:sz w:val="26"/>
          <w:szCs w:val="26"/>
        </w:rPr>
        <w:t xml:space="preserve">Mediante su Acuerdo No. 7.2.7 de su Sesión Ordinaria No. 61-2015 del 04 de Noviembre del 2015, </w:t>
      </w:r>
      <w:r w:rsidR="007B4BB1" w:rsidRPr="00CF6794">
        <w:rPr>
          <w:color w:val="000000" w:themeColor="text1"/>
          <w:sz w:val="26"/>
          <w:szCs w:val="26"/>
        </w:rPr>
        <w:t xml:space="preserve">luego de un conducente Procedimiento Administrativo Ordinario y </w:t>
      </w:r>
      <w:r w:rsidRPr="00CF6794">
        <w:rPr>
          <w:color w:val="000000" w:themeColor="text1"/>
          <w:sz w:val="26"/>
          <w:szCs w:val="26"/>
        </w:rPr>
        <w:t>en vi</w:t>
      </w:r>
      <w:r w:rsidR="007B4BB1" w:rsidRPr="00CF6794">
        <w:rPr>
          <w:color w:val="000000" w:themeColor="text1"/>
          <w:sz w:val="26"/>
          <w:szCs w:val="26"/>
        </w:rPr>
        <w:t>rtud</w:t>
      </w:r>
      <w:r w:rsidRPr="00CF6794">
        <w:rPr>
          <w:color w:val="000000" w:themeColor="text1"/>
          <w:sz w:val="26"/>
          <w:szCs w:val="26"/>
        </w:rPr>
        <w:t xml:space="preserve"> de lo recomendado por el Oficio DAJ-2015003212 de su Dirección de Asuntos Jurídicos, la Junta Directiva del Consejo de Transporte Público dispuso Cancelar el Derecho de Concesión de Taxi Placas TA-</w:t>
      </w:r>
      <w:r w:rsidR="00353EFA">
        <w:rPr>
          <w:color w:val="000000" w:themeColor="text1"/>
          <w:sz w:val="26"/>
          <w:szCs w:val="26"/>
        </w:rPr>
        <w:t>…</w:t>
      </w:r>
      <w:r w:rsidRPr="00CF6794">
        <w:rPr>
          <w:color w:val="000000" w:themeColor="text1"/>
          <w:sz w:val="26"/>
          <w:szCs w:val="26"/>
        </w:rPr>
        <w:t xml:space="preserve">, a nombre del Señor </w:t>
      </w:r>
      <w:r w:rsidR="00353EFA">
        <w:rPr>
          <w:color w:val="000000" w:themeColor="text1"/>
          <w:sz w:val="26"/>
          <w:szCs w:val="26"/>
        </w:rPr>
        <w:t>MVVC</w:t>
      </w:r>
      <w:r w:rsidR="00312E4F" w:rsidRPr="00CF6794">
        <w:rPr>
          <w:color w:val="000000" w:themeColor="text1"/>
          <w:sz w:val="26"/>
          <w:szCs w:val="26"/>
        </w:rPr>
        <w:t>A, hoy R</w:t>
      </w:r>
      <w:r w:rsidRPr="00CF6794">
        <w:rPr>
          <w:color w:val="000000" w:themeColor="text1"/>
          <w:sz w:val="26"/>
          <w:szCs w:val="26"/>
        </w:rPr>
        <w:t xml:space="preserve">ecurrente. </w:t>
      </w:r>
    </w:p>
    <w:p w:rsidR="000636AE" w:rsidRPr="00CF6794" w:rsidRDefault="000636AE" w:rsidP="000636AE">
      <w:pPr>
        <w:spacing w:line="276" w:lineRule="auto"/>
        <w:jc w:val="both"/>
        <w:rPr>
          <w:color w:val="000000" w:themeColor="text1"/>
          <w:sz w:val="26"/>
          <w:szCs w:val="26"/>
        </w:rPr>
      </w:pPr>
    </w:p>
    <w:p w:rsidR="000636AE" w:rsidRPr="00CF6794" w:rsidRDefault="000636AE" w:rsidP="000636AE">
      <w:pPr>
        <w:spacing w:line="276" w:lineRule="auto"/>
        <w:jc w:val="both"/>
        <w:rPr>
          <w:color w:val="000000" w:themeColor="text1"/>
          <w:sz w:val="26"/>
          <w:szCs w:val="26"/>
        </w:rPr>
      </w:pPr>
      <w:r w:rsidRPr="00CF6794">
        <w:rPr>
          <w:b/>
          <w:color w:val="000000" w:themeColor="text1"/>
          <w:sz w:val="26"/>
          <w:szCs w:val="26"/>
        </w:rPr>
        <w:t>2.-</w:t>
      </w:r>
      <w:r w:rsidRPr="00CF6794">
        <w:rPr>
          <w:color w:val="000000" w:themeColor="text1"/>
          <w:sz w:val="26"/>
          <w:szCs w:val="26"/>
        </w:rPr>
        <w:tab/>
        <w:t xml:space="preserve">Notificado que fuera del Acuerdo señalado en el Resultando precedente, mediante Memorial de fecha 15 de Noviembre del año 2015, presentado al Expediente No. 316738 de la Ventanilla Única del Consejo de Transporte Público el día 19 de Noviembre del 2015, el Señor </w:t>
      </w:r>
      <w:r w:rsidR="00353EFA">
        <w:rPr>
          <w:color w:val="000000" w:themeColor="text1"/>
          <w:sz w:val="26"/>
          <w:szCs w:val="26"/>
        </w:rPr>
        <w:t>VC</w:t>
      </w:r>
      <w:r w:rsidRPr="00CF6794">
        <w:rPr>
          <w:color w:val="000000" w:themeColor="text1"/>
          <w:sz w:val="26"/>
          <w:szCs w:val="26"/>
        </w:rPr>
        <w:t xml:space="preserve"> interpone formales Recursos Ordinarios de Revocatoria con Apelación en subsidio contra el Acto </w:t>
      </w:r>
      <w:r w:rsidRPr="00CF6794">
        <w:rPr>
          <w:i/>
          <w:color w:val="000000" w:themeColor="text1"/>
          <w:sz w:val="26"/>
          <w:szCs w:val="26"/>
        </w:rPr>
        <w:t>supra</w:t>
      </w:r>
      <w:r w:rsidRPr="00CF6794">
        <w:rPr>
          <w:color w:val="000000" w:themeColor="text1"/>
          <w:sz w:val="26"/>
          <w:szCs w:val="26"/>
        </w:rPr>
        <w:t xml:space="preserve"> señalado. Indicando, en lo general, que sí bien es cierto hubo un atraso en el Cambio de Unidad (</w:t>
      </w:r>
      <w:r w:rsidRPr="00CF6794">
        <w:rPr>
          <w:i/>
          <w:color w:val="000000" w:themeColor="text1"/>
          <w:sz w:val="26"/>
          <w:szCs w:val="26"/>
        </w:rPr>
        <w:t>por Modelo o Antigüedad</w:t>
      </w:r>
      <w:r w:rsidRPr="00CF6794">
        <w:rPr>
          <w:color w:val="000000" w:themeColor="text1"/>
          <w:sz w:val="26"/>
          <w:szCs w:val="26"/>
        </w:rPr>
        <w:t>), él mismo no fue nunca de Mala Fe y que n</w:t>
      </w:r>
      <w:r w:rsidR="007B4BB1" w:rsidRPr="00CF6794">
        <w:rPr>
          <w:color w:val="000000" w:themeColor="text1"/>
          <w:sz w:val="26"/>
          <w:szCs w:val="26"/>
        </w:rPr>
        <w:t>o se Afectó el Servicio Público, según lo que él explicara en el pertinente Procedimiento Administrativo llevado en relación al Caso. Y que es impropio que se le cancele su Concesión cuando paralelamente se le ha dejado Adquirir un Nuevo Vehículo, con la Inversión y los Costos que ello conlleva.</w:t>
      </w:r>
    </w:p>
    <w:p w:rsidR="007B4BB1" w:rsidRPr="00CF6794" w:rsidRDefault="007B4BB1" w:rsidP="000636AE">
      <w:pPr>
        <w:spacing w:line="276" w:lineRule="auto"/>
        <w:jc w:val="both"/>
        <w:rPr>
          <w:color w:val="000000" w:themeColor="text1"/>
          <w:sz w:val="26"/>
          <w:szCs w:val="26"/>
        </w:rPr>
      </w:pPr>
    </w:p>
    <w:p w:rsidR="007B4BB1" w:rsidRPr="00CF6794" w:rsidRDefault="007B4BB1" w:rsidP="000636AE">
      <w:pPr>
        <w:spacing w:line="276" w:lineRule="auto"/>
        <w:jc w:val="both"/>
        <w:rPr>
          <w:color w:val="000000" w:themeColor="text1"/>
          <w:sz w:val="26"/>
          <w:szCs w:val="26"/>
        </w:rPr>
      </w:pPr>
      <w:r w:rsidRPr="00CF6794">
        <w:rPr>
          <w:b/>
          <w:color w:val="000000" w:themeColor="text1"/>
          <w:sz w:val="26"/>
          <w:szCs w:val="26"/>
        </w:rPr>
        <w:t>3.-</w:t>
      </w:r>
      <w:r w:rsidRPr="00CF6794">
        <w:rPr>
          <w:color w:val="000000" w:themeColor="text1"/>
          <w:sz w:val="26"/>
          <w:szCs w:val="26"/>
        </w:rPr>
        <w:tab/>
        <w:t xml:space="preserve">Luego de valorar la Revocatoria de primera instancia, por medio de su Acuerdo No. 7.3.8 de su Sesión Ordinaria No. 13-2016 del 16 de Marzo del 2016, la Junta </w:t>
      </w:r>
      <w:r w:rsidRPr="00CF6794">
        <w:rPr>
          <w:color w:val="000000" w:themeColor="text1"/>
          <w:sz w:val="26"/>
          <w:szCs w:val="26"/>
        </w:rPr>
        <w:lastRenderedPageBreak/>
        <w:t>Directiva del Consejo de Transporte Público</w:t>
      </w:r>
      <w:r w:rsidR="00826A21" w:rsidRPr="00CF6794">
        <w:rPr>
          <w:color w:val="000000" w:themeColor="text1"/>
          <w:sz w:val="26"/>
          <w:szCs w:val="26"/>
        </w:rPr>
        <w:t xml:space="preserve"> determinó su </w:t>
      </w:r>
      <w:r w:rsidR="00312E4F" w:rsidRPr="00CF6794">
        <w:rPr>
          <w:color w:val="000000" w:themeColor="text1"/>
          <w:sz w:val="26"/>
          <w:szCs w:val="26"/>
        </w:rPr>
        <w:t>Rechazo y la E</w:t>
      </w:r>
      <w:r w:rsidR="00826A21" w:rsidRPr="00CF6794">
        <w:rPr>
          <w:color w:val="000000" w:themeColor="text1"/>
          <w:sz w:val="26"/>
          <w:szCs w:val="26"/>
        </w:rPr>
        <w:t>levación del Asunto para ante este Tribunal.</w:t>
      </w:r>
    </w:p>
    <w:p w:rsidR="00826A21" w:rsidRPr="00CF6794" w:rsidRDefault="00826A21" w:rsidP="000636AE">
      <w:pPr>
        <w:spacing w:line="276" w:lineRule="auto"/>
        <w:jc w:val="both"/>
        <w:rPr>
          <w:color w:val="000000" w:themeColor="text1"/>
          <w:sz w:val="26"/>
          <w:szCs w:val="26"/>
        </w:rPr>
      </w:pPr>
    </w:p>
    <w:p w:rsidR="00826A21" w:rsidRPr="00CF6794" w:rsidRDefault="00826A21" w:rsidP="000636AE">
      <w:pPr>
        <w:spacing w:line="276" w:lineRule="auto"/>
        <w:jc w:val="both"/>
        <w:rPr>
          <w:color w:val="000000" w:themeColor="text1"/>
          <w:sz w:val="26"/>
          <w:szCs w:val="26"/>
        </w:rPr>
      </w:pPr>
      <w:r w:rsidRPr="00CF6794">
        <w:rPr>
          <w:b/>
          <w:color w:val="000000" w:themeColor="text1"/>
          <w:sz w:val="26"/>
          <w:szCs w:val="26"/>
        </w:rPr>
        <w:t>4.-</w:t>
      </w:r>
      <w:r w:rsidRPr="00CF6794">
        <w:rPr>
          <w:color w:val="000000" w:themeColor="text1"/>
          <w:sz w:val="26"/>
          <w:szCs w:val="26"/>
        </w:rPr>
        <w:tab/>
        <w:t>Conforme a lo anterior y en rigor de los términos y prescripciones de Ley, procede a conocer este Tribunal.</w:t>
      </w:r>
    </w:p>
    <w:p w:rsidR="00826A21" w:rsidRPr="00CF6794" w:rsidRDefault="00826A21" w:rsidP="000636AE">
      <w:pPr>
        <w:spacing w:line="276" w:lineRule="auto"/>
        <w:jc w:val="both"/>
        <w:rPr>
          <w:color w:val="000000" w:themeColor="text1"/>
          <w:sz w:val="26"/>
          <w:szCs w:val="26"/>
        </w:rPr>
      </w:pPr>
    </w:p>
    <w:p w:rsidR="00826A21" w:rsidRPr="00CF6794" w:rsidRDefault="00826A21" w:rsidP="000636AE">
      <w:pPr>
        <w:spacing w:line="276" w:lineRule="auto"/>
        <w:jc w:val="both"/>
        <w:rPr>
          <w:b/>
          <w:i/>
          <w:color w:val="000000" w:themeColor="text1"/>
          <w:sz w:val="26"/>
          <w:szCs w:val="26"/>
        </w:rPr>
      </w:pPr>
      <w:r w:rsidRPr="00CF6794">
        <w:rPr>
          <w:b/>
          <w:i/>
          <w:color w:val="000000" w:themeColor="text1"/>
          <w:sz w:val="26"/>
          <w:szCs w:val="26"/>
        </w:rPr>
        <w:t>REDACTA EL JUEZ QUESADA AGUIRRE,</w:t>
      </w:r>
    </w:p>
    <w:p w:rsidR="00826A21" w:rsidRPr="00CF6794" w:rsidRDefault="00826A21" w:rsidP="000636AE">
      <w:pPr>
        <w:spacing w:line="276" w:lineRule="auto"/>
        <w:jc w:val="both"/>
        <w:rPr>
          <w:color w:val="000000" w:themeColor="text1"/>
          <w:sz w:val="26"/>
          <w:szCs w:val="26"/>
        </w:rPr>
      </w:pPr>
    </w:p>
    <w:p w:rsidR="00826A21" w:rsidRPr="00CF6794" w:rsidRDefault="00826A21" w:rsidP="00826A21">
      <w:pPr>
        <w:spacing w:line="276" w:lineRule="auto"/>
        <w:jc w:val="center"/>
        <w:rPr>
          <w:b/>
          <w:i/>
          <w:color w:val="000000" w:themeColor="text1"/>
          <w:sz w:val="26"/>
          <w:szCs w:val="26"/>
        </w:rPr>
      </w:pPr>
      <w:r w:rsidRPr="00CF6794">
        <w:rPr>
          <w:b/>
          <w:i/>
          <w:color w:val="000000" w:themeColor="text1"/>
          <w:sz w:val="26"/>
          <w:szCs w:val="26"/>
        </w:rPr>
        <w:t>Considerando</w:t>
      </w:r>
    </w:p>
    <w:p w:rsidR="00826A21" w:rsidRPr="00CF6794" w:rsidRDefault="00826A21" w:rsidP="000636AE">
      <w:pPr>
        <w:spacing w:line="276" w:lineRule="auto"/>
        <w:jc w:val="both"/>
        <w:rPr>
          <w:color w:val="000000" w:themeColor="text1"/>
          <w:sz w:val="26"/>
          <w:szCs w:val="26"/>
        </w:rPr>
      </w:pPr>
    </w:p>
    <w:p w:rsidR="00826A21" w:rsidRPr="00CF6794" w:rsidRDefault="00826A21" w:rsidP="00826A21">
      <w:pPr>
        <w:jc w:val="both"/>
        <w:rPr>
          <w:sz w:val="26"/>
          <w:szCs w:val="26"/>
        </w:rPr>
      </w:pPr>
      <w:r w:rsidRPr="00CF6794">
        <w:rPr>
          <w:b/>
          <w:sz w:val="26"/>
          <w:szCs w:val="26"/>
        </w:rPr>
        <w:t>1.- SOBRE LA COMPETENCIA:</w:t>
      </w:r>
      <w:r w:rsidRPr="00CF6794">
        <w:rPr>
          <w:sz w:val="26"/>
          <w:szCs w:val="26"/>
        </w:rPr>
        <w:t xml:space="preserve">  </w:t>
      </w:r>
      <w:r w:rsidRPr="00CF6794">
        <w:rPr>
          <w:b/>
          <w:sz w:val="26"/>
          <w:szCs w:val="26"/>
        </w:rPr>
        <w:t xml:space="preserve"> </w:t>
      </w:r>
      <w:r w:rsidRPr="00CF6794">
        <w:rPr>
          <w:sz w:val="26"/>
          <w:szCs w:val="26"/>
        </w:rPr>
        <w:t xml:space="preserve">El Tribunal Administrativo de Transporte es el órgano competente para conocer y resolver el presente </w:t>
      </w:r>
      <w:r w:rsidRPr="00CF6794">
        <w:rPr>
          <w:b/>
          <w:smallCaps/>
          <w:sz w:val="26"/>
          <w:szCs w:val="26"/>
        </w:rPr>
        <w:t>recurso de apelación</w:t>
      </w:r>
      <w:r w:rsidRPr="00CF6794">
        <w:rPr>
          <w:smallCaps/>
          <w:sz w:val="26"/>
          <w:szCs w:val="26"/>
        </w:rPr>
        <w:t xml:space="preserve">,  </w:t>
      </w:r>
      <w:r w:rsidRPr="00CF6794">
        <w:rPr>
          <w:sz w:val="26"/>
          <w:szCs w:val="26"/>
        </w:rPr>
        <w:t>de conformidad con el Artículo 22 de la Ley Reguladora del Servicio Público de Transporte Remunerado de Personas en Vehículos en la Modalidad de Taxi, No. 7969 de 22 de diciembre de 1999</w:t>
      </w:r>
      <w:r w:rsidRPr="00CF6794">
        <w:rPr>
          <w:bCs/>
          <w:sz w:val="26"/>
          <w:szCs w:val="26"/>
        </w:rPr>
        <w:t>.</w:t>
      </w:r>
    </w:p>
    <w:p w:rsidR="00826A21" w:rsidRPr="00CF6794" w:rsidRDefault="00826A21" w:rsidP="00826A21">
      <w:pPr>
        <w:jc w:val="both"/>
        <w:rPr>
          <w:b/>
          <w:sz w:val="26"/>
          <w:szCs w:val="26"/>
        </w:rPr>
      </w:pPr>
    </w:p>
    <w:p w:rsidR="00826A21" w:rsidRPr="00CF6794" w:rsidRDefault="00826A21" w:rsidP="00826A21">
      <w:pPr>
        <w:jc w:val="both"/>
        <w:rPr>
          <w:sz w:val="26"/>
          <w:szCs w:val="26"/>
        </w:rPr>
      </w:pPr>
      <w:r w:rsidRPr="00CF6794">
        <w:rPr>
          <w:b/>
          <w:sz w:val="26"/>
          <w:szCs w:val="26"/>
        </w:rPr>
        <w:t xml:space="preserve">2.- LA ADMISIBILIDAD DEL RECURSO: </w:t>
      </w:r>
      <w:r w:rsidRPr="00CF6794">
        <w:rPr>
          <w:b/>
          <w:sz w:val="26"/>
          <w:szCs w:val="26"/>
          <w:u w:val="single"/>
        </w:rPr>
        <w:t>En cuanto a la Legitimación:</w:t>
      </w:r>
      <w:r w:rsidRPr="00CF6794">
        <w:rPr>
          <w:b/>
          <w:sz w:val="26"/>
          <w:szCs w:val="26"/>
        </w:rPr>
        <w:t xml:space="preserve"> </w:t>
      </w:r>
      <w:r w:rsidRPr="00CF6794">
        <w:rPr>
          <w:sz w:val="26"/>
          <w:szCs w:val="26"/>
        </w:rPr>
        <w:t>al Recurrente se le Canceló mediante el Acuerdo Impugnado la Concesión de Operación del Servicio de Taxi a él autorizado</w:t>
      </w:r>
      <w:r w:rsidRPr="00CF6794">
        <w:rPr>
          <w:smallCaps/>
          <w:sz w:val="26"/>
          <w:szCs w:val="26"/>
        </w:rPr>
        <w:t xml:space="preserve">, </w:t>
      </w:r>
      <w:r w:rsidRPr="00CF6794">
        <w:rPr>
          <w:sz w:val="26"/>
          <w:szCs w:val="26"/>
        </w:rPr>
        <w:t xml:space="preserve">por lo que cuenta con la Legitimación necesaria para actuar en el presente asunto. </w:t>
      </w:r>
      <w:r w:rsidRPr="00CF6794">
        <w:rPr>
          <w:b/>
          <w:sz w:val="26"/>
          <w:szCs w:val="26"/>
          <w:u w:val="single"/>
        </w:rPr>
        <w:t>En cuanto al Plazo:</w:t>
      </w:r>
      <w:r w:rsidRPr="00CF6794">
        <w:rPr>
          <w:sz w:val="26"/>
          <w:szCs w:val="26"/>
        </w:rPr>
        <w:t xml:space="preserve"> El Recurso de Apelación fue presentado el día </w:t>
      </w:r>
      <w:r w:rsidR="0010232B" w:rsidRPr="00CF6794">
        <w:rPr>
          <w:sz w:val="26"/>
          <w:szCs w:val="26"/>
        </w:rPr>
        <w:t>19</w:t>
      </w:r>
      <w:r w:rsidRPr="00CF6794">
        <w:rPr>
          <w:sz w:val="26"/>
          <w:szCs w:val="26"/>
        </w:rPr>
        <w:t xml:space="preserve"> de </w:t>
      </w:r>
      <w:r w:rsidR="0010232B" w:rsidRPr="00CF6794">
        <w:rPr>
          <w:sz w:val="26"/>
          <w:szCs w:val="26"/>
        </w:rPr>
        <w:t>Novie</w:t>
      </w:r>
      <w:r w:rsidRPr="00CF6794">
        <w:rPr>
          <w:sz w:val="26"/>
          <w:szCs w:val="26"/>
        </w:rPr>
        <w:t xml:space="preserve">mbre del 2015 </w:t>
      </w:r>
      <w:r w:rsidRPr="00CF6794">
        <w:rPr>
          <w:i/>
          <w:sz w:val="26"/>
          <w:szCs w:val="26"/>
        </w:rPr>
        <w:t>(folios 00</w:t>
      </w:r>
      <w:r w:rsidR="0010232B" w:rsidRPr="00CF6794">
        <w:rPr>
          <w:i/>
          <w:sz w:val="26"/>
          <w:szCs w:val="26"/>
        </w:rPr>
        <w:t>0012</w:t>
      </w:r>
      <w:r w:rsidRPr="00CF6794">
        <w:rPr>
          <w:i/>
          <w:sz w:val="26"/>
          <w:szCs w:val="26"/>
        </w:rPr>
        <w:t xml:space="preserve"> y </w:t>
      </w:r>
      <w:r w:rsidR="0010232B" w:rsidRPr="00CF6794">
        <w:rPr>
          <w:i/>
          <w:sz w:val="26"/>
          <w:szCs w:val="26"/>
        </w:rPr>
        <w:t>0000</w:t>
      </w:r>
      <w:r w:rsidRPr="00CF6794">
        <w:rPr>
          <w:i/>
          <w:sz w:val="26"/>
          <w:szCs w:val="26"/>
        </w:rPr>
        <w:t>1</w:t>
      </w:r>
      <w:r w:rsidR="0010232B" w:rsidRPr="00CF6794">
        <w:rPr>
          <w:i/>
          <w:sz w:val="26"/>
          <w:szCs w:val="26"/>
        </w:rPr>
        <w:t>3</w:t>
      </w:r>
      <w:r w:rsidRPr="00CF6794">
        <w:rPr>
          <w:i/>
          <w:sz w:val="26"/>
          <w:szCs w:val="26"/>
        </w:rPr>
        <w:t xml:space="preserve"> del Expediente del Caso)</w:t>
      </w:r>
      <w:r w:rsidRPr="00CF6794">
        <w:rPr>
          <w:sz w:val="26"/>
          <w:szCs w:val="26"/>
        </w:rPr>
        <w:t xml:space="preserve">; habiéndose comunicado el Acto Impugnado en fecha </w:t>
      </w:r>
      <w:r w:rsidR="0010232B" w:rsidRPr="00CF6794">
        <w:rPr>
          <w:sz w:val="26"/>
          <w:szCs w:val="26"/>
        </w:rPr>
        <w:t>1</w:t>
      </w:r>
      <w:r w:rsidRPr="00CF6794">
        <w:rPr>
          <w:sz w:val="26"/>
          <w:szCs w:val="26"/>
        </w:rPr>
        <w:t xml:space="preserve">2 de </w:t>
      </w:r>
      <w:r w:rsidR="0010232B" w:rsidRPr="00CF6794">
        <w:rPr>
          <w:sz w:val="26"/>
          <w:szCs w:val="26"/>
        </w:rPr>
        <w:t>Noviembre</w:t>
      </w:r>
      <w:r w:rsidRPr="00CF6794">
        <w:rPr>
          <w:sz w:val="26"/>
          <w:szCs w:val="26"/>
        </w:rPr>
        <w:t xml:space="preserve"> del 2015 </w:t>
      </w:r>
      <w:r w:rsidRPr="00CF6794">
        <w:rPr>
          <w:i/>
          <w:sz w:val="26"/>
          <w:szCs w:val="26"/>
        </w:rPr>
        <w:t>(folio 0</w:t>
      </w:r>
      <w:r w:rsidR="0010232B" w:rsidRPr="00CF6794">
        <w:rPr>
          <w:i/>
          <w:sz w:val="26"/>
          <w:szCs w:val="26"/>
        </w:rPr>
        <w:t>00025 y 000028</w:t>
      </w:r>
      <w:r w:rsidRPr="00CF6794">
        <w:rPr>
          <w:i/>
          <w:sz w:val="26"/>
          <w:szCs w:val="26"/>
        </w:rPr>
        <w:t xml:space="preserve"> del Expediente del Caso)</w:t>
      </w:r>
      <w:r w:rsidRPr="00CF6794">
        <w:rPr>
          <w:sz w:val="26"/>
          <w:szCs w:val="26"/>
        </w:rPr>
        <w:t>. Razón por la debe tenerse como establecido dentro del plazo a que alude el Artí</w:t>
      </w:r>
      <w:r w:rsidR="0010232B" w:rsidRPr="00CF6794">
        <w:rPr>
          <w:sz w:val="26"/>
          <w:szCs w:val="26"/>
        </w:rPr>
        <w:t>culo No. 11 de la Ley No. 7969.</w:t>
      </w:r>
      <w:r w:rsidRPr="00CF6794">
        <w:rPr>
          <w:sz w:val="26"/>
          <w:szCs w:val="26"/>
        </w:rPr>
        <w:t>-</w:t>
      </w:r>
    </w:p>
    <w:p w:rsidR="00826A21" w:rsidRPr="00CF6794" w:rsidRDefault="00826A21" w:rsidP="00826A21">
      <w:pPr>
        <w:jc w:val="both"/>
        <w:rPr>
          <w:b/>
          <w:sz w:val="26"/>
          <w:szCs w:val="26"/>
        </w:rPr>
      </w:pPr>
    </w:p>
    <w:p w:rsidR="00826A21" w:rsidRPr="00CF6794" w:rsidRDefault="00826A21" w:rsidP="00826A21">
      <w:pPr>
        <w:jc w:val="both"/>
        <w:rPr>
          <w:sz w:val="26"/>
          <w:szCs w:val="26"/>
        </w:rPr>
      </w:pPr>
      <w:r w:rsidRPr="00CF6794">
        <w:rPr>
          <w:b/>
          <w:sz w:val="26"/>
          <w:szCs w:val="26"/>
        </w:rPr>
        <w:t xml:space="preserve">3.- SOBRE LOS HECHOS PROBADOS: </w:t>
      </w:r>
      <w:r w:rsidRPr="00CF6794">
        <w:rPr>
          <w:sz w:val="26"/>
          <w:szCs w:val="26"/>
        </w:rPr>
        <w:t>De importancia para la decisión de este asunto, se estiman como debidamente demostrados los siguientes hechos:</w:t>
      </w:r>
    </w:p>
    <w:p w:rsidR="00826A21" w:rsidRPr="00CF6794" w:rsidRDefault="00826A21" w:rsidP="00826A21">
      <w:pPr>
        <w:jc w:val="both"/>
        <w:rPr>
          <w:b/>
          <w:sz w:val="26"/>
          <w:szCs w:val="26"/>
          <w:lang w:val="es-MX"/>
        </w:rPr>
      </w:pPr>
    </w:p>
    <w:p w:rsidR="00826A21" w:rsidRPr="00CF6794" w:rsidRDefault="00826A21" w:rsidP="00826A21">
      <w:pPr>
        <w:spacing w:line="276" w:lineRule="auto"/>
        <w:jc w:val="both"/>
        <w:rPr>
          <w:i/>
          <w:color w:val="000000" w:themeColor="text1"/>
          <w:sz w:val="26"/>
          <w:szCs w:val="26"/>
        </w:rPr>
      </w:pPr>
      <w:r w:rsidRPr="00CF6794">
        <w:rPr>
          <w:b/>
          <w:i/>
          <w:color w:val="000000" w:themeColor="text1"/>
          <w:sz w:val="26"/>
          <w:szCs w:val="26"/>
        </w:rPr>
        <w:t>a.-</w:t>
      </w:r>
      <w:r w:rsidRPr="00CF6794">
        <w:rPr>
          <w:b/>
          <w:i/>
          <w:color w:val="000000" w:themeColor="text1"/>
          <w:sz w:val="26"/>
          <w:szCs w:val="26"/>
        </w:rPr>
        <w:tab/>
      </w:r>
      <w:r w:rsidR="0010232B" w:rsidRPr="00CF6794">
        <w:rPr>
          <w:i/>
          <w:color w:val="000000" w:themeColor="text1"/>
          <w:sz w:val="26"/>
          <w:szCs w:val="26"/>
        </w:rPr>
        <w:t>Que m</w:t>
      </w:r>
      <w:r w:rsidRPr="00CF6794">
        <w:rPr>
          <w:i/>
          <w:color w:val="000000" w:themeColor="text1"/>
          <w:sz w:val="26"/>
          <w:szCs w:val="26"/>
        </w:rPr>
        <w:t xml:space="preserve">ediante su Acuerdo No. 7.2.7 de su Sesión Ordinaria No. 61-2015 del 04 de Noviembre del 2015, luego de un conducente Procedimiento Administrativo Ordinario y en virtud de lo recomendado por el Oficio DAJ-2015003212 de su Dirección de Asuntos Jurídicos, la Junta Directiva del Consejo de Transporte Público dispuso Cancelar el Derecho de Concesión de Taxi, Placas TA-230, a nombre del Señor </w:t>
      </w:r>
      <w:r w:rsidR="00353EFA">
        <w:rPr>
          <w:i/>
          <w:color w:val="000000" w:themeColor="text1"/>
          <w:sz w:val="26"/>
          <w:szCs w:val="26"/>
        </w:rPr>
        <w:t>MVVC</w:t>
      </w:r>
      <w:r w:rsidRPr="00CF6794">
        <w:rPr>
          <w:i/>
          <w:color w:val="000000" w:themeColor="text1"/>
          <w:sz w:val="26"/>
          <w:szCs w:val="26"/>
        </w:rPr>
        <w:t xml:space="preserve">, hoy recurrente. </w:t>
      </w:r>
    </w:p>
    <w:p w:rsidR="00826A21" w:rsidRPr="00CF6794" w:rsidRDefault="00826A21" w:rsidP="00826A21">
      <w:pPr>
        <w:spacing w:line="276" w:lineRule="auto"/>
        <w:jc w:val="both"/>
        <w:rPr>
          <w:i/>
          <w:color w:val="000000" w:themeColor="text1"/>
          <w:sz w:val="26"/>
          <w:szCs w:val="26"/>
        </w:rPr>
      </w:pPr>
    </w:p>
    <w:p w:rsidR="00826A21" w:rsidRPr="00CF6794" w:rsidRDefault="00826A21" w:rsidP="00826A21">
      <w:pPr>
        <w:spacing w:line="276" w:lineRule="auto"/>
        <w:jc w:val="both"/>
        <w:rPr>
          <w:i/>
          <w:color w:val="000000" w:themeColor="text1"/>
          <w:sz w:val="26"/>
          <w:szCs w:val="26"/>
        </w:rPr>
      </w:pPr>
      <w:r w:rsidRPr="00CF6794">
        <w:rPr>
          <w:b/>
          <w:i/>
          <w:color w:val="000000" w:themeColor="text1"/>
          <w:sz w:val="26"/>
          <w:szCs w:val="26"/>
        </w:rPr>
        <w:t>b.-</w:t>
      </w:r>
      <w:r w:rsidRPr="00CF6794">
        <w:rPr>
          <w:i/>
          <w:color w:val="000000" w:themeColor="text1"/>
          <w:sz w:val="26"/>
          <w:szCs w:val="26"/>
        </w:rPr>
        <w:tab/>
      </w:r>
      <w:r w:rsidR="0010232B" w:rsidRPr="00CF6794">
        <w:rPr>
          <w:i/>
          <w:color w:val="000000" w:themeColor="text1"/>
          <w:sz w:val="26"/>
          <w:szCs w:val="26"/>
        </w:rPr>
        <w:t>Que Comunincado</w:t>
      </w:r>
      <w:r w:rsidRPr="00CF6794">
        <w:rPr>
          <w:i/>
          <w:color w:val="000000" w:themeColor="text1"/>
          <w:sz w:val="26"/>
          <w:szCs w:val="26"/>
        </w:rPr>
        <w:t xml:space="preserve"> que fuera del Acuerdo señalado en el Resultando precedente, mediante Memorial de fecha 15 de Noviembre del año 2015, presentado al Expediente No. 316738 de la Ventanilla Única del Consejo de Transporte Público el día 19 de Noviembre del 2015, el Señor VC interpone formales Recursos Ordinarios de Revocatoria con Apelación en subsidio contra el Acto supra señalado. </w:t>
      </w:r>
      <w:r w:rsidRPr="00CF6794">
        <w:rPr>
          <w:i/>
          <w:color w:val="000000" w:themeColor="text1"/>
          <w:sz w:val="26"/>
          <w:szCs w:val="26"/>
        </w:rPr>
        <w:lastRenderedPageBreak/>
        <w:t>Indicando, en lo general, que sí bien es cierto hubo un atraso en el Cambio de Unidad (por Modelo o Antigüedad), él mismo no fue nunca de Mala Fe y que no se Afectó el Servicio Público, según lo que él explicara en el pertinente Procedimiento Administrativo llevado en relación al Caso. Y que es impropio que se le cancele su Concesión cuando paralelamente se le ha dejado Adquirir un Nuevo Vehículo, con la Inversión y los Costos que ello conlleva.</w:t>
      </w:r>
    </w:p>
    <w:p w:rsidR="00826A21" w:rsidRPr="00CF6794" w:rsidRDefault="00826A21" w:rsidP="00826A21">
      <w:pPr>
        <w:spacing w:line="276" w:lineRule="auto"/>
        <w:jc w:val="both"/>
        <w:rPr>
          <w:i/>
          <w:color w:val="000000" w:themeColor="text1"/>
          <w:sz w:val="26"/>
          <w:szCs w:val="26"/>
        </w:rPr>
      </w:pPr>
    </w:p>
    <w:p w:rsidR="00826A21" w:rsidRPr="00CF6794" w:rsidRDefault="00826A21" w:rsidP="00826A21">
      <w:pPr>
        <w:spacing w:line="276" w:lineRule="auto"/>
        <w:jc w:val="both"/>
        <w:rPr>
          <w:i/>
          <w:color w:val="000000" w:themeColor="text1"/>
          <w:sz w:val="26"/>
          <w:szCs w:val="26"/>
        </w:rPr>
      </w:pPr>
      <w:r w:rsidRPr="00CF6794">
        <w:rPr>
          <w:b/>
          <w:i/>
          <w:color w:val="000000" w:themeColor="text1"/>
          <w:sz w:val="26"/>
          <w:szCs w:val="26"/>
        </w:rPr>
        <w:t>c.-</w:t>
      </w:r>
      <w:r w:rsidRPr="00CF6794">
        <w:rPr>
          <w:i/>
          <w:color w:val="000000" w:themeColor="text1"/>
          <w:sz w:val="26"/>
          <w:szCs w:val="26"/>
        </w:rPr>
        <w:tab/>
      </w:r>
      <w:r w:rsidR="0010232B" w:rsidRPr="00CF6794">
        <w:rPr>
          <w:i/>
          <w:color w:val="000000" w:themeColor="text1"/>
          <w:sz w:val="26"/>
          <w:szCs w:val="26"/>
        </w:rPr>
        <w:t>Que en primera instancia y l</w:t>
      </w:r>
      <w:r w:rsidRPr="00CF6794">
        <w:rPr>
          <w:i/>
          <w:color w:val="000000" w:themeColor="text1"/>
          <w:sz w:val="26"/>
          <w:szCs w:val="26"/>
        </w:rPr>
        <w:t xml:space="preserve">uego de valorar la Revocatoria </w:t>
      </w:r>
      <w:r w:rsidR="0010232B" w:rsidRPr="00CF6794">
        <w:rPr>
          <w:i/>
          <w:color w:val="000000" w:themeColor="text1"/>
          <w:sz w:val="26"/>
          <w:szCs w:val="26"/>
        </w:rPr>
        <w:t>pla</w:t>
      </w:r>
      <w:r w:rsidR="004E5994">
        <w:rPr>
          <w:i/>
          <w:color w:val="000000" w:themeColor="text1"/>
          <w:sz w:val="26"/>
          <w:szCs w:val="26"/>
        </w:rPr>
        <w:t>n</w:t>
      </w:r>
      <w:r w:rsidR="0010232B" w:rsidRPr="00CF6794">
        <w:rPr>
          <w:i/>
          <w:color w:val="000000" w:themeColor="text1"/>
          <w:sz w:val="26"/>
          <w:szCs w:val="26"/>
        </w:rPr>
        <w:t>teada por el Interesado</w:t>
      </w:r>
      <w:r w:rsidRPr="00CF6794">
        <w:rPr>
          <w:i/>
          <w:color w:val="000000" w:themeColor="text1"/>
          <w:sz w:val="26"/>
          <w:szCs w:val="26"/>
        </w:rPr>
        <w:t>, por medio de su Acuerdo No. 7.3.8 de su Sesión Ordinaria No. 13-2016 del 16 de Marzo del 2016, la Junta Directiva del Consejo de Transporte Público determinó su rechazo y la elevación del Asunto para ante este Tribunal.</w:t>
      </w:r>
    </w:p>
    <w:p w:rsidR="008C7868" w:rsidRPr="00CF6794" w:rsidRDefault="008C7868" w:rsidP="00826A21">
      <w:pPr>
        <w:spacing w:line="276" w:lineRule="auto"/>
        <w:jc w:val="both"/>
        <w:rPr>
          <w:i/>
          <w:color w:val="000000" w:themeColor="text1"/>
          <w:sz w:val="26"/>
          <w:szCs w:val="26"/>
        </w:rPr>
      </w:pPr>
    </w:p>
    <w:p w:rsidR="008C7868" w:rsidRPr="00CF6794" w:rsidRDefault="008C7868" w:rsidP="00826A21">
      <w:pPr>
        <w:spacing w:line="276" w:lineRule="auto"/>
        <w:jc w:val="both"/>
        <w:rPr>
          <w:i/>
          <w:color w:val="000000" w:themeColor="text1"/>
          <w:sz w:val="26"/>
          <w:szCs w:val="26"/>
        </w:rPr>
      </w:pPr>
      <w:r w:rsidRPr="00CF6794">
        <w:rPr>
          <w:b/>
          <w:i/>
          <w:color w:val="000000" w:themeColor="text1"/>
          <w:sz w:val="26"/>
          <w:szCs w:val="26"/>
        </w:rPr>
        <w:t>d.-</w:t>
      </w:r>
      <w:r w:rsidRPr="00CF6794">
        <w:rPr>
          <w:i/>
          <w:color w:val="000000" w:themeColor="text1"/>
          <w:sz w:val="26"/>
          <w:szCs w:val="26"/>
        </w:rPr>
        <w:tab/>
        <w:t>Que del estudio de este Tribunal ante el Registro Público de la Propiedad de Vehículos Au</w:t>
      </w:r>
      <w:r w:rsidR="00312E4F" w:rsidRPr="00CF6794">
        <w:rPr>
          <w:i/>
          <w:color w:val="000000" w:themeColor="text1"/>
          <w:sz w:val="26"/>
          <w:szCs w:val="26"/>
        </w:rPr>
        <w:t>tomotores (Bienes Muebles) del R</w:t>
      </w:r>
      <w:r w:rsidRPr="00CF6794">
        <w:rPr>
          <w:i/>
          <w:color w:val="000000" w:themeColor="text1"/>
          <w:sz w:val="26"/>
          <w:szCs w:val="26"/>
        </w:rPr>
        <w:t>egistro Nacional, se determina que el 11 de Enero del año 2016 el Recurrente ha terminado con el Trámite de Inscripción de un Vehículo Hibrido (Gas/Gasolina), modelo 2016, como Unidad para Operar el Servicio Público de Taxi con la Placa No. TA-</w:t>
      </w:r>
      <w:r w:rsidR="00353EFA">
        <w:rPr>
          <w:i/>
          <w:color w:val="000000" w:themeColor="text1"/>
          <w:sz w:val="26"/>
          <w:szCs w:val="26"/>
        </w:rPr>
        <w:t>…</w:t>
      </w:r>
      <w:r w:rsidRPr="00CF6794">
        <w:rPr>
          <w:i/>
          <w:color w:val="000000" w:themeColor="text1"/>
          <w:sz w:val="26"/>
          <w:szCs w:val="26"/>
        </w:rPr>
        <w:t>.</w:t>
      </w:r>
    </w:p>
    <w:p w:rsidR="00826A21" w:rsidRPr="00CF6794" w:rsidRDefault="00826A21" w:rsidP="00826A21">
      <w:pPr>
        <w:jc w:val="both"/>
        <w:rPr>
          <w:b/>
          <w:sz w:val="26"/>
          <w:szCs w:val="26"/>
        </w:rPr>
      </w:pPr>
    </w:p>
    <w:p w:rsidR="00826A21" w:rsidRPr="00CF6794" w:rsidRDefault="00826A21" w:rsidP="00826A21">
      <w:pPr>
        <w:jc w:val="both"/>
        <w:rPr>
          <w:b/>
          <w:sz w:val="26"/>
          <w:szCs w:val="26"/>
        </w:rPr>
      </w:pPr>
      <w:r w:rsidRPr="00CF6794">
        <w:rPr>
          <w:b/>
          <w:sz w:val="26"/>
          <w:szCs w:val="26"/>
        </w:rPr>
        <w:t>4.- HECHOS NO PROBADOS:</w:t>
      </w:r>
    </w:p>
    <w:p w:rsidR="00826A21" w:rsidRPr="00CF6794" w:rsidRDefault="00826A21" w:rsidP="00826A21">
      <w:pPr>
        <w:pStyle w:val="Sinespaciado"/>
        <w:rPr>
          <w:sz w:val="26"/>
          <w:szCs w:val="26"/>
        </w:rPr>
      </w:pPr>
    </w:p>
    <w:p w:rsidR="00826A21" w:rsidRPr="00CF6794" w:rsidRDefault="00826A21" w:rsidP="00826A21">
      <w:pPr>
        <w:jc w:val="both"/>
        <w:rPr>
          <w:sz w:val="26"/>
          <w:szCs w:val="26"/>
        </w:rPr>
      </w:pPr>
      <w:r w:rsidRPr="00CF6794">
        <w:rPr>
          <w:sz w:val="26"/>
          <w:szCs w:val="26"/>
        </w:rPr>
        <w:t>No se consigna ninguno de relevancia a los efectos de marras.</w:t>
      </w:r>
    </w:p>
    <w:p w:rsidR="00826A21" w:rsidRPr="00CF6794" w:rsidRDefault="00826A21" w:rsidP="00826A21">
      <w:pPr>
        <w:jc w:val="both"/>
        <w:rPr>
          <w:sz w:val="26"/>
          <w:szCs w:val="26"/>
        </w:rPr>
      </w:pPr>
    </w:p>
    <w:p w:rsidR="00826A21" w:rsidRPr="00CF6794" w:rsidRDefault="00826A21" w:rsidP="00826A21">
      <w:pPr>
        <w:ind w:right="20"/>
        <w:jc w:val="both"/>
        <w:rPr>
          <w:sz w:val="26"/>
          <w:szCs w:val="26"/>
        </w:rPr>
      </w:pPr>
    </w:p>
    <w:p w:rsidR="00826A21" w:rsidRPr="00CF6794" w:rsidRDefault="00826A21" w:rsidP="00826A21">
      <w:pPr>
        <w:jc w:val="both"/>
        <w:rPr>
          <w:b/>
          <w:sz w:val="26"/>
          <w:szCs w:val="26"/>
        </w:rPr>
      </w:pPr>
      <w:r w:rsidRPr="00CF6794">
        <w:rPr>
          <w:b/>
          <w:sz w:val="26"/>
          <w:szCs w:val="26"/>
        </w:rPr>
        <w:t>5.- SOBRE EL FONDO</w:t>
      </w:r>
    </w:p>
    <w:p w:rsidR="00826A21" w:rsidRPr="00CF6794" w:rsidRDefault="00826A21" w:rsidP="000636AE">
      <w:pPr>
        <w:spacing w:line="276" w:lineRule="auto"/>
        <w:jc w:val="both"/>
        <w:rPr>
          <w:color w:val="000000" w:themeColor="text1"/>
          <w:sz w:val="26"/>
          <w:szCs w:val="26"/>
        </w:rPr>
      </w:pPr>
    </w:p>
    <w:p w:rsidR="00C76B36" w:rsidRPr="00CF6794" w:rsidRDefault="0035026C" w:rsidP="000636AE">
      <w:pPr>
        <w:spacing w:line="276" w:lineRule="auto"/>
        <w:jc w:val="both"/>
        <w:rPr>
          <w:color w:val="000000" w:themeColor="text1"/>
          <w:sz w:val="26"/>
          <w:szCs w:val="26"/>
        </w:rPr>
      </w:pPr>
      <w:r w:rsidRPr="00CF6794">
        <w:rPr>
          <w:color w:val="000000" w:themeColor="text1"/>
          <w:sz w:val="26"/>
          <w:szCs w:val="26"/>
        </w:rPr>
        <w:t>En el presente caso lo que se maneja en una Imp</w:t>
      </w:r>
      <w:r w:rsidR="00312E4F" w:rsidRPr="00CF6794">
        <w:rPr>
          <w:color w:val="000000" w:themeColor="text1"/>
          <w:sz w:val="26"/>
          <w:szCs w:val="26"/>
        </w:rPr>
        <w:t>ugnación contra una Sanción de C</w:t>
      </w:r>
      <w:r w:rsidRPr="00CF6794">
        <w:rPr>
          <w:color w:val="000000" w:themeColor="text1"/>
          <w:sz w:val="26"/>
          <w:szCs w:val="26"/>
        </w:rPr>
        <w:t>ancelación de una Concesión de Taxi, Placas TA-</w:t>
      </w:r>
      <w:r w:rsidR="00353EFA">
        <w:rPr>
          <w:color w:val="000000" w:themeColor="text1"/>
          <w:sz w:val="26"/>
          <w:szCs w:val="26"/>
        </w:rPr>
        <w:t>…</w:t>
      </w:r>
      <w:r w:rsidRPr="00CF6794">
        <w:rPr>
          <w:color w:val="000000" w:themeColor="text1"/>
          <w:sz w:val="26"/>
          <w:szCs w:val="26"/>
        </w:rPr>
        <w:t xml:space="preserve">, a nombre del Señor </w:t>
      </w:r>
      <w:r w:rsidR="00353EFA">
        <w:rPr>
          <w:color w:val="000000" w:themeColor="text1"/>
          <w:sz w:val="26"/>
          <w:szCs w:val="26"/>
        </w:rPr>
        <w:t>MVVC</w:t>
      </w:r>
      <w:r w:rsidRPr="00CF6794">
        <w:rPr>
          <w:color w:val="000000" w:themeColor="text1"/>
          <w:sz w:val="26"/>
          <w:szCs w:val="26"/>
        </w:rPr>
        <w:t xml:space="preserve"> Ello en estima del Consejo de Transporte Público, por un Incumplimiento de su parte en cuanto a</w:t>
      </w:r>
      <w:r w:rsidR="00312E4F" w:rsidRPr="00CF6794">
        <w:rPr>
          <w:color w:val="000000" w:themeColor="text1"/>
          <w:sz w:val="26"/>
          <w:szCs w:val="26"/>
        </w:rPr>
        <w:t xml:space="preserve"> la Sustitución de su Unidad o V</w:t>
      </w:r>
      <w:r w:rsidRPr="00CF6794">
        <w:rPr>
          <w:color w:val="000000" w:themeColor="text1"/>
          <w:sz w:val="26"/>
          <w:szCs w:val="26"/>
        </w:rPr>
        <w:t>ehículo Taxi, según sus Compromisos Legales y Contractuales como Concesionario y a tenor de lo Requerido por el Decreto Ejecutivo No. 32261-MOPT: “Reglamento de Características y Condiciones Generales de los Vehículos Taxi”, Artículo 5.</w:t>
      </w:r>
    </w:p>
    <w:p w:rsidR="00C76B36" w:rsidRPr="00CF6794" w:rsidRDefault="00C76B36" w:rsidP="000636AE">
      <w:pPr>
        <w:spacing w:line="276" w:lineRule="auto"/>
        <w:jc w:val="both"/>
        <w:rPr>
          <w:color w:val="000000" w:themeColor="text1"/>
          <w:sz w:val="26"/>
          <w:szCs w:val="26"/>
        </w:rPr>
      </w:pPr>
      <w:r w:rsidRPr="00CF6794">
        <w:rPr>
          <w:color w:val="000000" w:themeColor="text1"/>
          <w:sz w:val="26"/>
          <w:szCs w:val="26"/>
        </w:rPr>
        <w:t>En la especie, pese a lo argumentos comprensibles del Concesionario en cuestión, el Consejo de Transporte Público estima que exist</w:t>
      </w:r>
      <w:r w:rsidR="00312E4F" w:rsidRPr="00CF6794">
        <w:rPr>
          <w:color w:val="000000" w:themeColor="text1"/>
          <w:sz w:val="26"/>
          <w:szCs w:val="26"/>
        </w:rPr>
        <w:t>ió</w:t>
      </w:r>
      <w:r w:rsidRPr="00CF6794">
        <w:rPr>
          <w:color w:val="000000" w:themeColor="text1"/>
          <w:sz w:val="26"/>
          <w:szCs w:val="26"/>
        </w:rPr>
        <w:t xml:space="preserve"> una Falta Grave </w:t>
      </w:r>
      <w:r w:rsidR="00312E4F" w:rsidRPr="00CF6794">
        <w:rPr>
          <w:color w:val="000000" w:themeColor="text1"/>
          <w:sz w:val="26"/>
          <w:szCs w:val="26"/>
        </w:rPr>
        <w:t xml:space="preserve">de su parte </w:t>
      </w:r>
      <w:r w:rsidRPr="00CF6794">
        <w:rPr>
          <w:color w:val="000000" w:themeColor="text1"/>
          <w:sz w:val="26"/>
          <w:szCs w:val="26"/>
        </w:rPr>
        <w:t>y en mérito de ello es que determina la Cancelación de la Concesión mediante s</w:t>
      </w:r>
      <w:r w:rsidR="00312E4F" w:rsidRPr="00CF6794">
        <w:rPr>
          <w:color w:val="000000" w:themeColor="text1"/>
          <w:sz w:val="26"/>
          <w:szCs w:val="26"/>
        </w:rPr>
        <w:t>u Acto Final cuya Apelación se a</w:t>
      </w:r>
      <w:r w:rsidRPr="00CF6794">
        <w:rPr>
          <w:color w:val="000000" w:themeColor="text1"/>
          <w:sz w:val="26"/>
          <w:szCs w:val="26"/>
        </w:rPr>
        <w:t>tiende.</w:t>
      </w:r>
    </w:p>
    <w:p w:rsidR="00C76B36" w:rsidRPr="00CF6794" w:rsidRDefault="00C76B36" w:rsidP="000636AE">
      <w:pPr>
        <w:spacing w:line="276" w:lineRule="auto"/>
        <w:jc w:val="both"/>
        <w:rPr>
          <w:color w:val="000000" w:themeColor="text1"/>
          <w:sz w:val="26"/>
          <w:szCs w:val="26"/>
        </w:rPr>
      </w:pPr>
    </w:p>
    <w:p w:rsidR="00C76B36" w:rsidRPr="00CF6794" w:rsidRDefault="00C76B36" w:rsidP="000636AE">
      <w:pPr>
        <w:spacing w:line="276" w:lineRule="auto"/>
        <w:jc w:val="both"/>
        <w:rPr>
          <w:color w:val="000000" w:themeColor="text1"/>
          <w:sz w:val="26"/>
          <w:szCs w:val="26"/>
        </w:rPr>
      </w:pPr>
      <w:r w:rsidRPr="00CF6794">
        <w:rPr>
          <w:color w:val="000000" w:themeColor="text1"/>
          <w:sz w:val="26"/>
          <w:szCs w:val="26"/>
        </w:rPr>
        <w:lastRenderedPageBreak/>
        <w:t xml:space="preserve">De la Valoración que aplica este Tribunal en cuanto al </w:t>
      </w:r>
      <w:r w:rsidRPr="00CF6794">
        <w:rPr>
          <w:i/>
          <w:color w:val="000000" w:themeColor="text1"/>
          <w:sz w:val="26"/>
          <w:szCs w:val="26"/>
        </w:rPr>
        <w:t>factum</w:t>
      </w:r>
      <w:r w:rsidR="00312E4F" w:rsidRPr="00CF6794">
        <w:rPr>
          <w:color w:val="000000" w:themeColor="text1"/>
          <w:sz w:val="26"/>
          <w:szCs w:val="26"/>
        </w:rPr>
        <w:t xml:space="preserve"> particular del Asunto</w:t>
      </w:r>
      <w:r w:rsidRPr="00CF6794">
        <w:rPr>
          <w:color w:val="000000" w:themeColor="text1"/>
          <w:sz w:val="26"/>
          <w:szCs w:val="26"/>
        </w:rPr>
        <w:t xml:space="preserve"> y dado lo que explica el Recurrente en sus Gestiones, es de nuestra estima que lo que aconteció en la especie fue un Atraso de Cumplimiento, pero NO ASÍ UN INCUMPLIMIENTO TOTAL. Ahora bien, según las Teorías de las Obligaciones, de los Contratos y de la Responsabilidad, para que una Situación como la que se Valora VENGA A CONSTITUIR UNA FALTA RELEVANTE Y, </w:t>
      </w:r>
      <w:r w:rsidRPr="00CF6794">
        <w:rPr>
          <w:i/>
          <w:color w:val="000000" w:themeColor="text1"/>
          <w:sz w:val="26"/>
          <w:szCs w:val="26"/>
        </w:rPr>
        <w:t>PER SE</w:t>
      </w:r>
      <w:r w:rsidRPr="00CF6794">
        <w:rPr>
          <w:color w:val="000000" w:themeColor="text1"/>
          <w:sz w:val="26"/>
          <w:szCs w:val="26"/>
        </w:rPr>
        <w:t>, UNA CAUSAL DE ANULACIÓN, INCUMPLIMIENTO, RESOLUCIÓN, CANCELACIÓN O CADUCIDADD, ES MERITORIO QUE SEA DE ORDEN GRAVE Y</w:t>
      </w:r>
      <w:r w:rsidR="00D353C6" w:rsidRPr="00CF6794">
        <w:rPr>
          <w:color w:val="000000" w:themeColor="text1"/>
          <w:sz w:val="26"/>
          <w:szCs w:val="26"/>
        </w:rPr>
        <w:t xml:space="preserve"> QUE AFECTE EL SERVICIO PÚBLICO (</w:t>
      </w:r>
      <w:r w:rsidR="00D353C6" w:rsidRPr="00CF6794">
        <w:rPr>
          <w:i/>
          <w:color w:val="000000" w:themeColor="text1"/>
          <w:sz w:val="26"/>
          <w:szCs w:val="26"/>
        </w:rPr>
        <w:t>SU PRESTACIÓN DEBIDA</w:t>
      </w:r>
      <w:r w:rsidR="00D353C6" w:rsidRPr="00CF6794">
        <w:rPr>
          <w:color w:val="000000" w:themeColor="text1"/>
          <w:sz w:val="26"/>
          <w:szCs w:val="26"/>
        </w:rPr>
        <w:t>). Así lo expuso este Tribunal en su Resolución No. TAT-2554-2015 de las 09:50 horas del 30 de Abril del 2015, en la que -</w:t>
      </w:r>
      <w:r w:rsidR="00D353C6" w:rsidRPr="00CF6794">
        <w:rPr>
          <w:i/>
          <w:color w:val="000000" w:themeColor="text1"/>
          <w:sz w:val="26"/>
          <w:szCs w:val="26"/>
        </w:rPr>
        <w:t>en lo conducente</w:t>
      </w:r>
      <w:r w:rsidR="00D353C6" w:rsidRPr="00CF6794">
        <w:rPr>
          <w:color w:val="000000" w:themeColor="text1"/>
          <w:sz w:val="26"/>
          <w:szCs w:val="26"/>
        </w:rPr>
        <w:t>- se dijo:</w:t>
      </w:r>
    </w:p>
    <w:p w:rsidR="00D353C6" w:rsidRPr="00CF6794" w:rsidRDefault="00D353C6" w:rsidP="000636AE">
      <w:pPr>
        <w:spacing w:line="276" w:lineRule="auto"/>
        <w:jc w:val="both"/>
        <w:rPr>
          <w:color w:val="000000" w:themeColor="text1"/>
          <w:sz w:val="26"/>
          <w:szCs w:val="26"/>
        </w:rPr>
      </w:pPr>
    </w:p>
    <w:p w:rsidR="00D353C6" w:rsidRPr="00CF6794" w:rsidRDefault="00D353C6" w:rsidP="00D353C6">
      <w:pPr>
        <w:ind w:left="567" w:right="616"/>
        <w:jc w:val="both"/>
        <w:rPr>
          <w:rStyle w:val="CharacterStyle1"/>
          <w:spacing w:val="4"/>
          <w:sz w:val="26"/>
          <w:szCs w:val="26"/>
          <w:lang w:val="es-ES" w:eastAsia="es-ES"/>
        </w:rPr>
      </w:pPr>
      <w:r w:rsidRPr="00CF6794">
        <w:rPr>
          <w:rStyle w:val="CharacterStyle1"/>
          <w:spacing w:val="4"/>
          <w:sz w:val="26"/>
          <w:szCs w:val="26"/>
          <w:lang w:val="es-ES" w:eastAsia="es-ES"/>
        </w:rPr>
        <w:t xml:space="preserve">…”En cuanto a la Falta que se atribuye a la firma </w:t>
      </w:r>
      <w:r w:rsidR="00353EFA">
        <w:rPr>
          <w:rStyle w:val="CharacterStyle1"/>
          <w:spacing w:val="4"/>
          <w:sz w:val="26"/>
          <w:szCs w:val="26"/>
          <w:lang w:val="es-ES" w:eastAsia="es-ES"/>
        </w:rPr>
        <w:t>…</w:t>
      </w:r>
      <w:r w:rsidRPr="00CF6794">
        <w:rPr>
          <w:rStyle w:val="CharacterStyle1"/>
          <w:spacing w:val="4"/>
          <w:sz w:val="26"/>
          <w:szCs w:val="26"/>
          <w:lang w:val="es-ES" w:eastAsia="es-ES"/>
        </w:rPr>
        <w:t xml:space="preserve"> y ante la cual la firma Recurrente requiere la Caducidad de su Concesión, </w:t>
      </w:r>
      <w:r w:rsidRPr="00CF6794">
        <w:rPr>
          <w:rStyle w:val="CharacterStyle1"/>
          <w:b/>
          <w:spacing w:val="4"/>
          <w:sz w:val="26"/>
          <w:szCs w:val="26"/>
          <w:lang w:val="es-ES" w:eastAsia="es-ES"/>
        </w:rPr>
        <w:t>debemos hacer ver que no toda falta en materia de Contratos Administrativos y/o de la Prestación del Servicio Público conlleva la Sanción Mayor de una Caducidad y/o Cancelación de la Concesión o de la Pérdida del Derecho. Según las Disposiciones de la ley No. 7969, en concordancia con los Contratos de Concesión de Autobuses, de la Ley de Contratación Administrativa y de su Reglamento, y del Reglamento sobre Infracciones y Sanciones Menores en el Transporte Público (</w:t>
      </w:r>
      <w:r w:rsidRPr="00CF6794">
        <w:rPr>
          <w:rStyle w:val="CharacterStyle1"/>
          <w:b/>
          <w:i/>
          <w:spacing w:val="4"/>
          <w:sz w:val="26"/>
          <w:szCs w:val="26"/>
          <w:lang w:val="es-ES" w:eastAsia="es-ES"/>
        </w:rPr>
        <w:t>Decreto Ejecutivo No. 15261-MOPT</w:t>
      </w:r>
      <w:r w:rsidRPr="00CF6794">
        <w:rPr>
          <w:rStyle w:val="CharacterStyle1"/>
          <w:b/>
          <w:spacing w:val="4"/>
          <w:sz w:val="26"/>
          <w:szCs w:val="26"/>
          <w:lang w:val="es-ES" w:eastAsia="es-ES"/>
        </w:rPr>
        <w:t>), el ejercicio de los Poderes de Policía y de Control conllevan primeramente un Etapa Correctiva y solo en casos de Faltas de Extrema Gravedad o de Reiteración de Faltas o Incumplimientos y de Irrespeto Injustificado a las Determinaciones del Consejo de Transporte Público, aplica la Etapa Sancionatoria o Represiva. Existiendo así una Graduación de Sanciones Posibles, las cuales van desde una Prevención, pasando por una Amonestación Escrita y solo culminando con una sanción tan Grave como la Caducidad y/o Cancelación de la Concesión en situaciones extremas, graves y severas</w:t>
      </w:r>
      <w:r w:rsidRPr="00CF6794">
        <w:rPr>
          <w:rStyle w:val="CharacterStyle1"/>
          <w:spacing w:val="4"/>
          <w:sz w:val="26"/>
          <w:szCs w:val="26"/>
          <w:lang w:val="es-ES" w:eastAsia="es-ES"/>
        </w:rPr>
        <w:t>. En tal orden de ideas y para ejemplarizar lo expuesto, vale traer a colación el siguiente criterio de la Contraloría General de la República:</w:t>
      </w:r>
    </w:p>
    <w:p w:rsidR="00D353C6" w:rsidRPr="00CF6794" w:rsidRDefault="00D353C6" w:rsidP="00D353C6">
      <w:pPr>
        <w:ind w:left="567" w:right="616"/>
        <w:jc w:val="both"/>
        <w:rPr>
          <w:rStyle w:val="CharacterStyle1"/>
          <w:spacing w:val="4"/>
          <w:sz w:val="26"/>
          <w:szCs w:val="26"/>
          <w:lang w:val="es-ES" w:eastAsia="es-ES"/>
        </w:rPr>
      </w:pPr>
    </w:p>
    <w:p w:rsidR="00D353C6" w:rsidRPr="00CF6794" w:rsidRDefault="00D353C6" w:rsidP="00D353C6">
      <w:pPr>
        <w:pStyle w:val="Ttulo2"/>
        <w:tabs>
          <w:tab w:val="left" w:pos="-180"/>
          <w:tab w:val="left" w:pos="142"/>
          <w:tab w:val="left" w:pos="360"/>
          <w:tab w:val="left" w:pos="540"/>
        </w:tabs>
        <w:ind w:left="567" w:right="616"/>
        <w:jc w:val="both"/>
        <w:rPr>
          <w:sz w:val="26"/>
          <w:szCs w:val="26"/>
        </w:rPr>
      </w:pPr>
      <w:bookmarkStart w:id="0" w:name="_Toc148761281"/>
      <w:bookmarkStart w:id="1" w:name="_Toc148761767"/>
      <w:r w:rsidRPr="00CF6794">
        <w:rPr>
          <w:sz w:val="26"/>
          <w:szCs w:val="26"/>
        </w:rPr>
        <w:t>Incumplimientos. Incumplimientos graves para aplicar la resolución contractual.</w:t>
      </w:r>
      <w:bookmarkEnd w:id="0"/>
      <w:bookmarkEnd w:id="1"/>
    </w:p>
    <w:p w:rsidR="00D353C6" w:rsidRPr="00CF6794" w:rsidRDefault="00D353C6" w:rsidP="00D353C6">
      <w:pPr>
        <w:tabs>
          <w:tab w:val="left" w:pos="142"/>
        </w:tabs>
        <w:ind w:left="567" w:right="616"/>
        <w:jc w:val="both"/>
        <w:rPr>
          <w:bCs/>
          <w:sz w:val="26"/>
          <w:szCs w:val="26"/>
          <w:lang w:val="es-CR"/>
        </w:rPr>
      </w:pPr>
    </w:p>
    <w:p w:rsidR="00D353C6" w:rsidRPr="00CF6794" w:rsidRDefault="00D353C6" w:rsidP="00D353C6">
      <w:pPr>
        <w:tabs>
          <w:tab w:val="left" w:pos="142"/>
        </w:tabs>
        <w:ind w:left="567" w:right="616"/>
        <w:jc w:val="both"/>
        <w:rPr>
          <w:bCs/>
          <w:sz w:val="26"/>
          <w:szCs w:val="26"/>
          <w:lang w:val="es-CR"/>
        </w:rPr>
      </w:pPr>
      <w:r w:rsidRPr="00CF6794">
        <w:rPr>
          <w:bCs/>
          <w:sz w:val="26"/>
          <w:szCs w:val="26"/>
          <w:lang w:val="es-CR"/>
        </w:rPr>
        <w:t xml:space="preserve">…“La resolución es una forma de extinción anormal del contrato, que surge a raíz de un hecho posterior a la celebración, el cual ha sido previsto por ley o por los contratantes, en forma expresa o tácita y con efecto </w:t>
      </w:r>
      <w:r w:rsidRPr="00CF6794">
        <w:rPr>
          <w:bCs/>
          <w:sz w:val="26"/>
          <w:szCs w:val="26"/>
          <w:lang w:val="es-CR"/>
        </w:rPr>
        <w:lastRenderedPageBreak/>
        <w:t>retroactivo…, la cual si bien es cierto puede aplicar por muchas razones (por ejemplo, condición resolutoria, excesiva onerosidad sobreviniente, etc.), lo cierto es que es más frecuente encontrarla en los casos de incumplimiento de una la partes.  En ese sentido, nos dice Baudrit Carrillo que: “</w:t>
      </w:r>
      <w:r w:rsidRPr="00CF6794">
        <w:rPr>
          <w:bCs/>
          <w:iCs/>
          <w:sz w:val="26"/>
          <w:szCs w:val="26"/>
          <w:lang w:val="es-CR"/>
        </w:rPr>
        <w:t xml:space="preserve">La resolución es una </w:t>
      </w:r>
      <w:r w:rsidRPr="00CF6794">
        <w:rPr>
          <w:iCs/>
          <w:sz w:val="26"/>
          <w:szCs w:val="26"/>
          <w:lang w:val="es-CR"/>
        </w:rPr>
        <w:t>sanción</w:t>
      </w:r>
      <w:r w:rsidRPr="00CF6794">
        <w:rPr>
          <w:bCs/>
          <w:iCs/>
          <w:sz w:val="26"/>
          <w:szCs w:val="26"/>
          <w:lang w:val="es-CR"/>
        </w:rPr>
        <w:t xml:space="preserve"> que consiste en la supresión retroactiva de las obligaciones contractuales (...) sólo se presenta en los contratos bilaterales, pues que al dejarse de ejecutar las prestaciones convenidas, la obligación conexa del otro contratante se falsea por carecer de contrapartida...</w:t>
      </w:r>
      <w:r w:rsidRPr="00CF6794">
        <w:rPr>
          <w:bCs/>
          <w:sz w:val="26"/>
          <w:szCs w:val="26"/>
          <w:lang w:val="es-CR"/>
        </w:rPr>
        <w:t xml:space="preserve">”… </w:t>
      </w:r>
      <w:r w:rsidRPr="00CF6794">
        <w:rPr>
          <w:b/>
          <w:bCs/>
          <w:sz w:val="26"/>
          <w:szCs w:val="26"/>
          <w:lang w:val="es-CR"/>
        </w:rPr>
        <w:t>Ahora bien, no se trata de cualquier incumplimiento el que motiva la resolución, sino de un incumplimiento grave y de tal magnitud que impida la ejecución de la prestación debida.</w:t>
      </w:r>
      <w:r w:rsidRPr="00CF6794">
        <w:rPr>
          <w:bCs/>
          <w:sz w:val="26"/>
          <w:szCs w:val="26"/>
          <w:lang w:val="es-CR"/>
        </w:rPr>
        <w:t xml:space="preserve">  Por supuesto en los contratos administrativos, el cumplimiento a satisfacción de la obligación surgida en forma posterior a un acto de adjudicación se verifica mediante la recepción a conformidad que hace la Administración del bien, servicio u obra que se entrega al amparo del contrato.  </w:t>
      </w:r>
      <w:r w:rsidRPr="00CF6794">
        <w:rPr>
          <w:b/>
          <w:bCs/>
          <w:sz w:val="26"/>
          <w:szCs w:val="26"/>
          <w:lang w:val="es-CR"/>
        </w:rPr>
        <w:t>Así entonces, el incumplimiento del contratista de cualquier cláusula del contrato, no debería conllevar inmediatamente la resolución sino que podría justificar la imposición de sanciones</w:t>
      </w:r>
      <w:r w:rsidRPr="00CF6794">
        <w:rPr>
          <w:bCs/>
          <w:sz w:val="26"/>
          <w:szCs w:val="26"/>
          <w:lang w:val="es-CR"/>
        </w:rPr>
        <w:t xml:space="preserve"> (por ejemplo pecuniarias en caso de incumplimiento de plazo de entrega) </w:t>
      </w:r>
      <w:r w:rsidRPr="00CF6794">
        <w:rPr>
          <w:b/>
          <w:bCs/>
          <w:sz w:val="26"/>
          <w:szCs w:val="26"/>
          <w:lang w:val="es-CR"/>
        </w:rPr>
        <w:t>y en última instancia la resolución contractual pues en este tipo de situaciones es el interés público el que a fin de cuentas se ve perjudicado</w:t>
      </w:r>
      <w:r w:rsidRPr="00CF6794">
        <w:rPr>
          <w:bCs/>
          <w:sz w:val="26"/>
          <w:szCs w:val="26"/>
          <w:lang w:val="es-CR"/>
        </w:rPr>
        <w:t xml:space="preserve">… </w:t>
      </w:r>
      <w:r w:rsidRPr="00CF6794">
        <w:rPr>
          <w:b/>
          <w:bCs/>
          <w:sz w:val="26"/>
          <w:szCs w:val="26"/>
          <w:u w:val="single"/>
          <w:lang w:val="es-CR"/>
        </w:rPr>
        <w:t>Así entonces, a la hora de definir si se resuelve un contrato administrativo, la Administración debe justamente ponderar todos estos aspectos, según se dijo, magnitud del incumplimiento, posibilidad de ejecución de la prestación y satisfacción del interés público</w:t>
      </w:r>
      <w:r w:rsidRPr="00CF6794">
        <w:rPr>
          <w:bCs/>
          <w:sz w:val="26"/>
          <w:szCs w:val="26"/>
          <w:lang w:val="es-CR"/>
        </w:rPr>
        <w:t xml:space="preserve">; por lo que en casos como el presente en donde se discute el cumplimiento técnico de un equipo, es necesario que exista una apropiada justificación de parte de la Administración sobre las razones por las cuales el equipo no cumple o sí es susceptible de cumplir lo requerido en el cartel y con ello satisfacer las necesidades del Hospital.”…  </w:t>
      </w:r>
      <w:r w:rsidRPr="00CF6794">
        <w:rPr>
          <w:b/>
          <w:sz w:val="26"/>
          <w:szCs w:val="26"/>
          <w:lang w:val="es-CR"/>
        </w:rPr>
        <w:t>R-DAGJ-102-2005 de las 10:00 horas del 28 de febrero de 2005</w:t>
      </w:r>
      <w:r w:rsidRPr="00CF6794">
        <w:rPr>
          <w:bCs/>
          <w:sz w:val="26"/>
          <w:szCs w:val="26"/>
          <w:lang w:val="es-CR"/>
        </w:rPr>
        <w:t xml:space="preserve"> (el resaltado es nuestro)</w:t>
      </w:r>
    </w:p>
    <w:p w:rsidR="00D353C6" w:rsidRPr="00CF6794" w:rsidRDefault="00D353C6" w:rsidP="00D353C6">
      <w:pPr>
        <w:ind w:left="567" w:right="616"/>
        <w:rPr>
          <w:sz w:val="26"/>
          <w:szCs w:val="26"/>
          <w:lang w:val="es-CR"/>
        </w:rPr>
      </w:pPr>
    </w:p>
    <w:p w:rsidR="00D353C6" w:rsidRPr="00CF6794" w:rsidRDefault="00D353C6" w:rsidP="00D353C6">
      <w:pPr>
        <w:ind w:left="567" w:right="616"/>
        <w:jc w:val="both"/>
        <w:rPr>
          <w:rStyle w:val="CharacterStyle1"/>
          <w:spacing w:val="4"/>
          <w:sz w:val="26"/>
          <w:szCs w:val="26"/>
          <w:lang w:val="es-ES" w:eastAsia="es-ES"/>
        </w:rPr>
      </w:pPr>
      <w:r w:rsidRPr="00CF6794">
        <w:rPr>
          <w:rStyle w:val="CharacterStyle1"/>
          <w:spacing w:val="4"/>
          <w:sz w:val="26"/>
          <w:szCs w:val="26"/>
          <w:lang w:val="es-ES" w:eastAsia="es-ES"/>
        </w:rPr>
        <w:t>Asimismo, lo Denunciado no encuadra dentro de los supuestos taxativos tipificados para la Sanción de Inhabilitación por el numeral 100 de la Ley de Contratación Administrativa. No operando tampoco el pedimento sancionatorio que se realiza en tal sentido.</w:t>
      </w:r>
    </w:p>
    <w:p w:rsidR="00D353C6" w:rsidRPr="00CF6794" w:rsidRDefault="00D353C6" w:rsidP="00D353C6">
      <w:pPr>
        <w:ind w:left="567" w:right="616"/>
        <w:jc w:val="both"/>
        <w:rPr>
          <w:rStyle w:val="CharacterStyle1"/>
          <w:spacing w:val="4"/>
          <w:sz w:val="26"/>
          <w:szCs w:val="26"/>
          <w:lang w:val="es-ES" w:eastAsia="es-ES"/>
        </w:rPr>
      </w:pPr>
    </w:p>
    <w:p w:rsidR="00D353C6" w:rsidRPr="00CF6794" w:rsidRDefault="00D353C6" w:rsidP="00D353C6">
      <w:pPr>
        <w:ind w:left="567" w:right="616"/>
        <w:jc w:val="both"/>
        <w:rPr>
          <w:rStyle w:val="CharacterStyle1"/>
          <w:spacing w:val="4"/>
          <w:sz w:val="26"/>
          <w:szCs w:val="26"/>
          <w:lang w:val="es-ES" w:eastAsia="es-ES"/>
        </w:rPr>
      </w:pPr>
      <w:r w:rsidRPr="00CF6794">
        <w:rPr>
          <w:rStyle w:val="CharacterStyle1"/>
          <w:spacing w:val="4"/>
          <w:sz w:val="26"/>
          <w:szCs w:val="26"/>
          <w:lang w:val="es-ES" w:eastAsia="es-ES"/>
        </w:rPr>
        <w:t>-</w:t>
      </w:r>
      <w:r w:rsidRPr="00CF6794">
        <w:rPr>
          <w:rStyle w:val="CharacterStyle1"/>
          <w:spacing w:val="4"/>
          <w:sz w:val="26"/>
          <w:szCs w:val="26"/>
          <w:lang w:val="es-ES" w:eastAsia="es-ES"/>
        </w:rPr>
        <w:tab/>
        <w:t>Unido y correlacionado con  lo anterior, se tiene que la Potestad Sancionadora del Consejo de Transporte Público es Potestativa y Discrecional, pues así se colige del texto expreso del Artículo 24 de la Ley No. 3503, en concordancia con las disposiciones del Contrato de Concesión respectivo. Señalando el numeral 24 aludido lo siguiente:</w:t>
      </w:r>
    </w:p>
    <w:p w:rsidR="00AD415D" w:rsidRPr="00CF6794" w:rsidRDefault="00D353C6" w:rsidP="00C063BB">
      <w:pPr>
        <w:spacing w:before="100" w:beforeAutospacing="1" w:after="100" w:afterAutospacing="1"/>
        <w:ind w:left="567" w:right="616"/>
        <w:jc w:val="both"/>
        <w:rPr>
          <w:color w:val="000000"/>
          <w:sz w:val="26"/>
          <w:szCs w:val="26"/>
          <w:lang w:val="es-CR"/>
        </w:rPr>
      </w:pPr>
      <w:r w:rsidRPr="00CF6794">
        <w:rPr>
          <w:b/>
          <w:color w:val="000000"/>
          <w:sz w:val="26"/>
          <w:szCs w:val="26"/>
          <w:lang w:val="es-CR"/>
        </w:rPr>
        <w:lastRenderedPageBreak/>
        <w:t>“Artículo 24.-</w:t>
      </w:r>
      <w:r w:rsidRPr="00CF6794">
        <w:rPr>
          <w:color w:val="000000"/>
          <w:sz w:val="26"/>
          <w:szCs w:val="26"/>
          <w:lang w:val="es-CR"/>
        </w:rPr>
        <w:t xml:space="preserve"> El Ministerio de Transportes </w:t>
      </w:r>
      <w:r w:rsidRPr="00CF6794">
        <w:rPr>
          <w:b/>
          <w:color w:val="000000"/>
          <w:sz w:val="26"/>
          <w:szCs w:val="26"/>
          <w:lang w:val="es-CR"/>
        </w:rPr>
        <w:t>podrá</w:t>
      </w:r>
      <w:r w:rsidRPr="00CF6794">
        <w:rPr>
          <w:color w:val="000000"/>
          <w:sz w:val="26"/>
          <w:szCs w:val="26"/>
          <w:lang w:val="es-CR"/>
        </w:rPr>
        <w:t xml:space="preserve"> declarar caduca cualquier concesión, por deficiencias graves y debidamente comprobadas en el servicio, o por incumplimiento de las condiciones.” (</w:t>
      </w:r>
      <w:r w:rsidRPr="00CF6794">
        <w:rPr>
          <w:i/>
          <w:color w:val="000000"/>
          <w:sz w:val="26"/>
          <w:szCs w:val="26"/>
          <w:lang w:val="es-CR"/>
        </w:rPr>
        <w:t>el resaltado es nuestro</w:t>
      </w:r>
      <w:r w:rsidRPr="00CF6794">
        <w:rPr>
          <w:color w:val="000000"/>
          <w:sz w:val="26"/>
          <w:szCs w:val="26"/>
          <w:lang w:val="es-CR"/>
        </w:rPr>
        <w:t>)</w:t>
      </w:r>
      <w:r w:rsidR="00AD415D" w:rsidRPr="00CF6794">
        <w:rPr>
          <w:color w:val="000000"/>
          <w:sz w:val="26"/>
          <w:szCs w:val="26"/>
          <w:lang w:val="es-CR"/>
        </w:rPr>
        <w:t>”…</w:t>
      </w:r>
    </w:p>
    <w:p w:rsidR="00C063BB" w:rsidRPr="006D3031" w:rsidRDefault="00C063BB" w:rsidP="006D3031">
      <w:pPr>
        <w:pStyle w:val="Sinespaciado"/>
        <w:rPr>
          <w:sz w:val="16"/>
          <w:szCs w:val="16"/>
        </w:rPr>
      </w:pPr>
    </w:p>
    <w:p w:rsidR="00312E4F" w:rsidRPr="00CF6794" w:rsidRDefault="00312E4F" w:rsidP="00312E4F">
      <w:pPr>
        <w:spacing w:before="100" w:beforeAutospacing="1" w:after="100" w:afterAutospacing="1"/>
        <w:ind w:right="49"/>
        <w:jc w:val="both"/>
        <w:rPr>
          <w:color w:val="000000"/>
          <w:sz w:val="26"/>
          <w:szCs w:val="26"/>
          <w:lang w:val="es-CR"/>
        </w:rPr>
      </w:pPr>
      <w:r w:rsidRPr="00CF6794">
        <w:rPr>
          <w:color w:val="000000"/>
          <w:sz w:val="26"/>
          <w:szCs w:val="26"/>
          <w:lang w:val="es-CR"/>
        </w:rPr>
        <w:t>Y dado lo anterior no se determina que la Situación Reprochada al Concesionario Recurrente pres</w:t>
      </w:r>
      <w:r w:rsidR="004E5994">
        <w:rPr>
          <w:color w:val="000000"/>
          <w:sz w:val="26"/>
          <w:szCs w:val="26"/>
          <w:lang w:val="es-CR"/>
        </w:rPr>
        <w:t>e</w:t>
      </w:r>
      <w:r w:rsidRPr="00CF6794">
        <w:rPr>
          <w:color w:val="000000"/>
          <w:sz w:val="26"/>
          <w:szCs w:val="26"/>
          <w:lang w:val="es-CR"/>
        </w:rPr>
        <w:t>nte</w:t>
      </w:r>
      <w:r w:rsidR="004E5994">
        <w:rPr>
          <w:color w:val="000000"/>
          <w:sz w:val="26"/>
          <w:szCs w:val="26"/>
          <w:lang w:val="es-CR"/>
        </w:rPr>
        <w:t xml:space="preserve"> </w:t>
      </w:r>
      <w:r w:rsidRPr="00CF6794">
        <w:rPr>
          <w:color w:val="000000"/>
          <w:sz w:val="26"/>
          <w:szCs w:val="26"/>
          <w:lang w:val="es-CR"/>
        </w:rPr>
        <w:t>las Condiciones Necesarias de Gravedad y Afectación al Servicio Público que conlleven la Cancelación o Caducidad de la Concesión. Toda vez que el Cambio de Unidad se dio (</w:t>
      </w:r>
      <w:r w:rsidRPr="00CF6794">
        <w:rPr>
          <w:i/>
          <w:color w:val="000000"/>
          <w:sz w:val="26"/>
          <w:szCs w:val="26"/>
          <w:lang w:val="es-CR"/>
        </w:rPr>
        <w:t>aunque de forma dilatada</w:t>
      </w:r>
      <w:r w:rsidRPr="00CF6794">
        <w:rPr>
          <w:color w:val="000000"/>
          <w:sz w:val="26"/>
          <w:szCs w:val="26"/>
          <w:lang w:val="es-CR"/>
        </w:rPr>
        <w:t>) y el Servicio se continuó prestando en ese tiempo con una Unidad que reunía las Condiciones Físicas, Técnicas y Mecánicas de rigor, al presentar sus Revisiones Técnicas conducentes. Por ende, conforme a lo anterior y al Mérito de la Situación, a la Posible Gravedad de los Hechos, a los Argumentos de Descargo del Concesionario Afectado y a la Legalidad y Tipicidad necesarias en la especie, NO se determina que el Acto Sancionatorio emitido por la Junta Directiva del Consejo de Transporte Público presente Mérito y Fundamento o Motivo debido</w:t>
      </w:r>
      <w:r w:rsidR="00E06236" w:rsidRPr="00CF6794">
        <w:rPr>
          <w:color w:val="000000"/>
          <w:sz w:val="26"/>
          <w:szCs w:val="26"/>
          <w:lang w:val="es-CR"/>
        </w:rPr>
        <w:t>s</w:t>
      </w:r>
      <w:r w:rsidRPr="00CF6794">
        <w:rPr>
          <w:color w:val="000000"/>
          <w:sz w:val="26"/>
          <w:szCs w:val="26"/>
          <w:lang w:val="es-CR"/>
        </w:rPr>
        <w:t xml:space="preserve"> (éstos últimos como elementos esenciales de toda Actuación Administrativa)</w:t>
      </w:r>
      <w:r w:rsidR="00E06236" w:rsidRPr="00CF6794">
        <w:rPr>
          <w:color w:val="000000"/>
          <w:sz w:val="26"/>
          <w:szCs w:val="26"/>
          <w:lang w:val="es-CR"/>
        </w:rPr>
        <w:t xml:space="preserve"> para su emisión y para determinar la Cancelación o Caducidad de la Concesión de Taxi dicha.</w:t>
      </w:r>
    </w:p>
    <w:p w:rsidR="00C063BB" w:rsidRPr="00CF6794" w:rsidRDefault="00E06236" w:rsidP="00C063BB">
      <w:pPr>
        <w:pStyle w:val="Sinespaciado"/>
        <w:ind w:right="-93"/>
        <w:jc w:val="both"/>
        <w:rPr>
          <w:sz w:val="26"/>
          <w:szCs w:val="26"/>
          <w:lang w:val="es-MX"/>
        </w:rPr>
      </w:pPr>
      <w:r w:rsidRPr="00CF6794">
        <w:rPr>
          <w:color w:val="000000"/>
          <w:sz w:val="26"/>
          <w:szCs w:val="26"/>
          <w:lang w:val="es-CR"/>
        </w:rPr>
        <w:t>Vale acotar a lo anterior que en cuanto al atraso en el Cumplimiento de la Obligación Amonestada al Concesionario, los Plazos o Términos correspondientes a Trámites y/o Gestiones a Cargo de la Administración, tales como respuestas a Gestiones de Cambios de Unidades, Exoneraciones y similares, NO PUDEN SER COMPUTADOS EN DETRIMENTO DE L</w:t>
      </w:r>
      <w:r w:rsidR="00C063BB" w:rsidRPr="00CF6794">
        <w:rPr>
          <w:color w:val="000000"/>
          <w:sz w:val="26"/>
          <w:szCs w:val="26"/>
          <w:lang w:val="es-CR"/>
        </w:rPr>
        <w:t>OS GESTION</w:t>
      </w:r>
      <w:r w:rsidR="004E5994">
        <w:rPr>
          <w:color w:val="000000"/>
          <w:sz w:val="26"/>
          <w:szCs w:val="26"/>
          <w:lang w:val="es-CR"/>
        </w:rPr>
        <w:t>A</w:t>
      </w:r>
      <w:r w:rsidR="00C063BB" w:rsidRPr="00CF6794">
        <w:rPr>
          <w:color w:val="000000"/>
          <w:sz w:val="26"/>
          <w:szCs w:val="26"/>
          <w:lang w:val="es-CR"/>
        </w:rPr>
        <w:t xml:space="preserve">NTES. En tal sentido </w:t>
      </w:r>
      <w:r w:rsidR="00C063BB" w:rsidRPr="00CF6794">
        <w:rPr>
          <w:sz w:val="26"/>
          <w:szCs w:val="26"/>
          <w:lang w:val="es-MX"/>
        </w:rPr>
        <w:t>Sobre el particular el referido Voto No. 6432-98 de la Sala Constitucional, señala:</w:t>
      </w:r>
    </w:p>
    <w:p w:rsidR="00C063BB" w:rsidRPr="00CF6794" w:rsidRDefault="00C063BB" w:rsidP="00C063BB">
      <w:pPr>
        <w:pStyle w:val="Sinespaciado"/>
        <w:ind w:right="-93"/>
        <w:jc w:val="both"/>
        <w:rPr>
          <w:sz w:val="26"/>
          <w:szCs w:val="26"/>
          <w:lang w:val="es-MX"/>
        </w:rPr>
      </w:pPr>
    </w:p>
    <w:p w:rsidR="00C063BB" w:rsidRPr="00CF6794" w:rsidRDefault="00C063BB" w:rsidP="00C063BB">
      <w:pPr>
        <w:pStyle w:val="Sinespaciado"/>
        <w:ind w:left="567" w:right="616"/>
        <w:jc w:val="both"/>
        <w:rPr>
          <w:sz w:val="26"/>
          <w:szCs w:val="26"/>
          <w:lang w:val="es-MX"/>
        </w:rPr>
      </w:pPr>
      <w:r w:rsidRPr="00CF6794">
        <w:rPr>
          <w:b/>
          <w:sz w:val="26"/>
          <w:szCs w:val="26"/>
        </w:rPr>
        <w:t>…”En la generalidad de los contratos administrativos los plazos de ejecución están claramente definidos y la inobservancia de los mismos, por circunstancias jurídicamente no imputables a las partes, las exime de responsabilidad, como ocurre en el caso de la fuerza mayor; pero si median causas imputables a las partes, se deben exigir las responsabilidades pertinentes</w:t>
      </w:r>
      <w:r w:rsidRPr="00CF6794">
        <w:rPr>
          <w:sz w:val="26"/>
          <w:szCs w:val="26"/>
        </w:rPr>
        <w:t>”… “</w:t>
      </w:r>
      <w:r w:rsidRPr="00CF6794">
        <w:rPr>
          <w:b/>
          <w:sz w:val="26"/>
          <w:szCs w:val="26"/>
        </w:rPr>
        <w:t>Pero cuando  el  incumplimiento es imputable a la Administración, en virtud de un comportamiento que da como resultado la imposibilidad para el contratista de cumplir con el contrato</w:t>
      </w:r>
      <w:r w:rsidRPr="00CF6794">
        <w:rPr>
          <w:sz w:val="26"/>
          <w:szCs w:val="26"/>
        </w:rPr>
        <w:t xml:space="preserve">. […] “2) como lo indica la doctrina del Derecho Público, </w:t>
      </w:r>
      <w:r w:rsidRPr="00CF6794">
        <w:rPr>
          <w:b/>
          <w:sz w:val="26"/>
          <w:szCs w:val="26"/>
        </w:rPr>
        <w:t>esa actuación de paralizar el contrato</w:t>
      </w:r>
      <w:r w:rsidRPr="00CF6794">
        <w:rPr>
          <w:sz w:val="26"/>
          <w:szCs w:val="26"/>
        </w:rPr>
        <w:t xml:space="preserve"> por falta de contenido económico, </w:t>
      </w:r>
      <w:r w:rsidRPr="00CF6794">
        <w:rPr>
          <w:b/>
          <w:sz w:val="26"/>
          <w:szCs w:val="26"/>
        </w:rPr>
        <w:t xml:space="preserve">sería deshonesta, vacua de ética y de fundamento legal, pues la mala situación financiera a que lo habría conducido el hecho de la Administración no le es imputable al contratista, ya que en los cálculos lógicos que se habrá formulado al contratar no tenía porqué considerar semejante conducta culposa de la Administración, quien, con tal comportamiento, ha trastornado la situación o sistema </w:t>
      </w:r>
      <w:r w:rsidRPr="00CF6794">
        <w:rPr>
          <w:b/>
          <w:sz w:val="26"/>
          <w:szCs w:val="26"/>
        </w:rPr>
        <w:lastRenderedPageBreak/>
        <w:t xml:space="preserve">económico del contratista, sistema o situación en base al cual éste tenía sobrados fundamentos para considerar que cumpliría sus obligaciones contractuales dentro de los plazos estipulados”… </w:t>
      </w:r>
    </w:p>
    <w:p w:rsidR="00D235AB" w:rsidRPr="00CF6794" w:rsidRDefault="00D235AB" w:rsidP="00D235AB">
      <w:pPr>
        <w:pStyle w:val="Sinespaciado"/>
        <w:jc w:val="both"/>
        <w:rPr>
          <w:sz w:val="26"/>
          <w:szCs w:val="26"/>
          <w:lang w:val="es-MX"/>
        </w:rPr>
      </w:pPr>
    </w:p>
    <w:p w:rsidR="00D235AB" w:rsidRPr="00CF6794" w:rsidRDefault="00D235AB" w:rsidP="00D235AB">
      <w:pPr>
        <w:pStyle w:val="Sinespaciado"/>
        <w:jc w:val="both"/>
        <w:rPr>
          <w:sz w:val="26"/>
          <w:szCs w:val="26"/>
          <w:lang w:val="es-MX"/>
        </w:rPr>
      </w:pPr>
    </w:p>
    <w:p w:rsidR="00D235AB" w:rsidRPr="00CF6794" w:rsidRDefault="00D235AB" w:rsidP="00D235AB">
      <w:pPr>
        <w:pStyle w:val="Sinespaciado"/>
        <w:jc w:val="both"/>
        <w:rPr>
          <w:sz w:val="26"/>
          <w:szCs w:val="26"/>
          <w:lang w:val="es-MX"/>
        </w:rPr>
      </w:pPr>
      <w:r w:rsidRPr="00CF6794">
        <w:rPr>
          <w:sz w:val="26"/>
          <w:szCs w:val="26"/>
          <w:lang w:val="es-MX"/>
        </w:rPr>
        <w:t>La situación, aquellos plazos o tiempos que son necesarios para la Administración y/o para el Contratista (Concesionario) Y QUE ESCAPAN A SU CONTROL, NO PUEDEN COMPUTARSE COMO PARTE DEL PLAZO DE ENTREGA O DE EJECUCIÓN. En tal sentido, los siguientes precedentes de la Contraloría General de la República reafirman lo expuesto:</w:t>
      </w:r>
    </w:p>
    <w:p w:rsidR="00D235AB" w:rsidRPr="00CF6794" w:rsidRDefault="00D235AB" w:rsidP="00D235AB">
      <w:pPr>
        <w:pStyle w:val="Sinespaciado"/>
        <w:jc w:val="both"/>
        <w:rPr>
          <w:sz w:val="26"/>
          <w:szCs w:val="26"/>
          <w:lang w:val="es-MX"/>
        </w:rPr>
      </w:pPr>
    </w:p>
    <w:p w:rsidR="00D235AB" w:rsidRPr="00CF6794" w:rsidRDefault="00D235AB" w:rsidP="00D235AB">
      <w:pPr>
        <w:pStyle w:val="Sinespaciado"/>
        <w:ind w:left="567" w:right="616"/>
        <w:jc w:val="both"/>
        <w:rPr>
          <w:sz w:val="26"/>
          <w:szCs w:val="26"/>
          <w:lang w:val="es-MX"/>
        </w:rPr>
      </w:pPr>
      <w:r w:rsidRPr="00CF6794">
        <w:rPr>
          <w:color w:val="000000"/>
          <w:sz w:val="26"/>
          <w:szCs w:val="26"/>
        </w:rPr>
        <w:t xml:space="preserve">…”En la fase de ejecución contractual, en el cómputo del plazo de entrega, </w:t>
      </w:r>
      <w:r w:rsidRPr="00CF6794">
        <w:rPr>
          <w:color w:val="000000"/>
          <w:sz w:val="26"/>
          <w:szCs w:val="26"/>
          <w:u w:val="single"/>
        </w:rPr>
        <w:t>se deben descontar aquellos días que necesitará la Administración para efectuar trámites propios que son su responsabilidad</w:t>
      </w:r>
      <w:r w:rsidRPr="00CF6794">
        <w:rPr>
          <w:color w:val="000000"/>
          <w:sz w:val="26"/>
          <w:szCs w:val="26"/>
        </w:rPr>
        <w:t>, por ejemplo, notas de exoneración. En términos jurídicos, el plazo se "suspende" y debe correr de nuevo desde el momento en que se suspendió, cuando el contratista ya esté en posibilidades de continuar con la ejecución.”…</w:t>
      </w:r>
      <w:r w:rsidRPr="00CF6794">
        <w:rPr>
          <w:rStyle w:val="apple-converted-space"/>
          <w:color w:val="000000"/>
          <w:sz w:val="26"/>
          <w:szCs w:val="26"/>
        </w:rPr>
        <w:t> </w:t>
      </w:r>
      <w:r w:rsidRPr="00CF6794">
        <w:rPr>
          <w:b/>
          <w:bCs/>
          <w:sz w:val="26"/>
          <w:szCs w:val="26"/>
        </w:rPr>
        <w:t>R-DAGJ-158-99</w:t>
      </w:r>
      <w:r w:rsidRPr="00CF6794">
        <w:rPr>
          <w:rStyle w:val="apple-converted-space"/>
          <w:b/>
          <w:bCs/>
          <w:color w:val="0000FF"/>
          <w:sz w:val="26"/>
          <w:szCs w:val="26"/>
        </w:rPr>
        <w:t xml:space="preserve"> </w:t>
      </w:r>
      <w:r w:rsidRPr="00CF6794">
        <w:rPr>
          <w:b/>
          <w:bCs/>
          <w:color w:val="000000"/>
          <w:sz w:val="26"/>
          <w:szCs w:val="26"/>
        </w:rPr>
        <w:t>de las 15:00 horas del 14 de diciembre de 1999.</w:t>
      </w:r>
    </w:p>
    <w:p w:rsidR="00D235AB" w:rsidRPr="00CF6794" w:rsidRDefault="00D235AB" w:rsidP="00D235AB">
      <w:pPr>
        <w:pStyle w:val="Sinespaciado"/>
        <w:ind w:left="567" w:right="616"/>
        <w:jc w:val="both"/>
        <w:rPr>
          <w:sz w:val="26"/>
          <w:szCs w:val="26"/>
          <w:lang w:val="es-MX"/>
        </w:rPr>
      </w:pPr>
    </w:p>
    <w:p w:rsidR="00D235AB" w:rsidRPr="00CF6794" w:rsidRDefault="00D235AB" w:rsidP="00D235AB">
      <w:pPr>
        <w:pStyle w:val="Sinespaciado"/>
        <w:ind w:left="567" w:right="616"/>
        <w:jc w:val="both"/>
        <w:rPr>
          <w:sz w:val="26"/>
          <w:szCs w:val="26"/>
          <w:lang w:val="es-MX"/>
        </w:rPr>
      </w:pPr>
      <w:r w:rsidRPr="00CF6794">
        <w:rPr>
          <w:sz w:val="26"/>
          <w:szCs w:val="26"/>
          <w:lang w:val="es-MX"/>
        </w:rPr>
        <w:t>---</w:t>
      </w:r>
    </w:p>
    <w:p w:rsidR="00D235AB" w:rsidRPr="00CF6794" w:rsidRDefault="00D235AB" w:rsidP="00D235AB">
      <w:pPr>
        <w:pStyle w:val="estilo18"/>
        <w:ind w:left="567" w:right="616"/>
        <w:jc w:val="both"/>
        <w:rPr>
          <w:b/>
          <w:bCs/>
          <w:color w:val="000000"/>
          <w:sz w:val="26"/>
          <w:szCs w:val="26"/>
        </w:rPr>
      </w:pPr>
      <w:r w:rsidRPr="00CF6794">
        <w:rPr>
          <w:b/>
          <w:bCs/>
          <w:color w:val="000000"/>
          <w:sz w:val="26"/>
          <w:szCs w:val="26"/>
        </w:rPr>
        <w:t>Plazo de entrega. Su valoración no debe incluir actuaciones de la Administración</w:t>
      </w:r>
    </w:p>
    <w:p w:rsidR="00D235AB" w:rsidRPr="00CF6794" w:rsidRDefault="00D235AB" w:rsidP="00D235AB">
      <w:pPr>
        <w:pStyle w:val="estilo1"/>
        <w:ind w:left="567" w:right="616"/>
        <w:jc w:val="both"/>
        <w:rPr>
          <w:color w:val="000000"/>
          <w:sz w:val="26"/>
          <w:szCs w:val="26"/>
        </w:rPr>
      </w:pPr>
      <w:r w:rsidRPr="00CF6794">
        <w:rPr>
          <w:color w:val="000000"/>
          <w:sz w:val="26"/>
          <w:szCs w:val="26"/>
        </w:rPr>
        <w:t xml:space="preserve">…”Después de analizar lo expuesto, se debe indicar que lleva razón la firma objetante, pues la Cruz Roja no debe incorporar en el plazo de entrega un trámite que le corresponde realizar a ella, como lo es el de exoneración. Se observa que la entidad parte de supuestos para señalar que el trámite de exoneración que le corresponde efectuar tiene una duración de 10 días hábiles, cuando en realidad no puede afirmar con certeza que verdaderamente ese sea el tiempo de duración, con lo que caben las interrogantes ¿Qué pasa si dura más? ¿A quién se le imputa el atraso? ¿Se podrían imponer multas? Ante este panorama, y por ya haber sido resuelta una situación similar en la resolución Nº R-DAGJ-158-99 de las quince horas del catorce de diciembre de mil novecientos noventa y nueve, este Despacho considera que lleva razón la firma objetante, </w:t>
      </w:r>
      <w:r w:rsidRPr="00CF6794">
        <w:rPr>
          <w:color w:val="000000"/>
          <w:sz w:val="26"/>
          <w:szCs w:val="26"/>
          <w:u w:val="single"/>
        </w:rPr>
        <w:t>en el sentido de que la duración de un trámite sobre el que la Cruz Roja tiene la obligación de efectuar no puede estar incorporado en el plazo de entrega a que se va a comprometer el oferente, y que si resulta el adjudicatario del negocio se le va a exigir, por lo que debe excluirse del plazo de entrega ese trámite y toda otra actuación que dependa de la Cruz Roja</w:t>
      </w:r>
      <w:r w:rsidRPr="00CF6794">
        <w:rPr>
          <w:color w:val="000000"/>
          <w:sz w:val="26"/>
          <w:szCs w:val="26"/>
        </w:rPr>
        <w:t>.”…</w:t>
      </w:r>
      <w:r w:rsidRPr="00CF6794">
        <w:rPr>
          <w:rStyle w:val="apple-converted-space"/>
          <w:color w:val="000000"/>
          <w:sz w:val="26"/>
          <w:szCs w:val="26"/>
        </w:rPr>
        <w:t xml:space="preserve">  </w:t>
      </w:r>
      <w:r w:rsidRPr="00CF6794">
        <w:rPr>
          <w:rStyle w:val="Textoennegrita"/>
          <w:color w:val="000000"/>
          <w:sz w:val="26"/>
          <w:szCs w:val="26"/>
        </w:rPr>
        <w:t>RC-476-2000</w:t>
      </w:r>
      <w:r w:rsidRPr="00CF6794">
        <w:rPr>
          <w:rStyle w:val="apple-converted-space"/>
          <w:b/>
          <w:bCs/>
          <w:color w:val="000000"/>
          <w:sz w:val="26"/>
          <w:szCs w:val="26"/>
        </w:rPr>
        <w:t> </w:t>
      </w:r>
      <w:r w:rsidRPr="00CF6794">
        <w:rPr>
          <w:rStyle w:val="Textoennegrita"/>
          <w:color w:val="000000"/>
          <w:sz w:val="26"/>
          <w:szCs w:val="26"/>
        </w:rPr>
        <w:t>de las 14:00 horas del 1º de noviembre del 2000</w:t>
      </w:r>
    </w:p>
    <w:p w:rsidR="00E06236" w:rsidRPr="003060E2" w:rsidRDefault="00E06236" w:rsidP="003060E2">
      <w:pPr>
        <w:pStyle w:val="Sinespaciado"/>
        <w:rPr>
          <w:sz w:val="16"/>
          <w:szCs w:val="16"/>
        </w:rPr>
      </w:pPr>
    </w:p>
    <w:p w:rsidR="00D235AB" w:rsidRPr="00CF6794" w:rsidRDefault="00D235AB" w:rsidP="00312E4F">
      <w:pPr>
        <w:spacing w:before="100" w:beforeAutospacing="1" w:after="100" w:afterAutospacing="1"/>
        <w:ind w:right="49"/>
        <w:jc w:val="both"/>
        <w:rPr>
          <w:color w:val="000000"/>
          <w:sz w:val="26"/>
          <w:szCs w:val="26"/>
          <w:lang w:val="es-CR"/>
        </w:rPr>
      </w:pPr>
      <w:r w:rsidRPr="00CF6794">
        <w:rPr>
          <w:color w:val="000000"/>
          <w:sz w:val="26"/>
          <w:szCs w:val="26"/>
          <w:lang w:val="es-CR"/>
        </w:rPr>
        <w:lastRenderedPageBreak/>
        <w:t>Y, finalmente, bien es sabido que del Texto Legal (</w:t>
      </w:r>
      <w:r w:rsidRPr="00CF6794">
        <w:rPr>
          <w:i/>
          <w:color w:val="000000"/>
          <w:sz w:val="26"/>
          <w:szCs w:val="26"/>
          <w:lang w:val="es-CR"/>
        </w:rPr>
        <w:t>artículo 16 de la Ley General de la Administración Pública</w:t>
      </w:r>
      <w:r w:rsidRPr="00CF6794">
        <w:rPr>
          <w:color w:val="000000"/>
          <w:sz w:val="26"/>
          <w:szCs w:val="26"/>
          <w:lang w:val="es-CR"/>
        </w:rPr>
        <w:t xml:space="preserve">) y del Texto Constitucional (artículo 34) se derivan los Principios Fundamentales de Razonabilidad, Proporcionalidad e Interdicción a la Arbitrariedad en materia de Contratación Administrativa. Siendo el contenido de Tales Principios el señalado por los </w:t>
      </w:r>
      <w:r w:rsidR="009B33A6" w:rsidRPr="00CF6794">
        <w:rPr>
          <w:color w:val="000000"/>
          <w:sz w:val="26"/>
          <w:szCs w:val="26"/>
          <w:lang w:val="es-CR"/>
        </w:rPr>
        <w:t>siguientes V</w:t>
      </w:r>
      <w:r w:rsidRPr="00CF6794">
        <w:rPr>
          <w:color w:val="000000"/>
          <w:sz w:val="26"/>
          <w:szCs w:val="26"/>
          <w:lang w:val="es-CR"/>
        </w:rPr>
        <w:t xml:space="preserve">otos </w:t>
      </w:r>
      <w:r w:rsidR="009B33A6" w:rsidRPr="00CF6794">
        <w:rPr>
          <w:color w:val="000000"/>
          <w:sz w:val="26"/>
          <w:szCs w:val="26"/>
          <w:lang w:val="es-CR"/>
        </w:rPr>
        <w:t>de nu</w:t>
      </w:r>
      <w:r w:rsidRPr="00CF6794">
        <w:rPr>
          <w:color w:val="000000"/>
          <w:sz w:val="26"/>
          <w:szCs w:val="26"/>
          <w:lang w:val="es-CR"/>
        </w:rPr>
        <w:t xml:space="preserve">estra Sala Constitucional, los cuales bien señalan:    </w:t>
      </w:r>
    </w:p>
    <w:p w:rsidR="009B33A6" w:rsidRPr="00CF6794" w:rsidRDefault="009B33A6" w:rsidP="009B33A6">
      <w:pPr>
        <w:pStyle w:val="Sinespaciado"/>
        <w:ind w:left="567" w:right="474"/>
        <w:jc w:val="both"/>
        <w:rPr>
          <w:sz w:val="26"/>
          <w:szCs w:val="26"/>
        </w:rPr>
      </w:pPr>
      <w:r w:rsidRPr="00CF6794">
        <w:rPr>
          <w:sz w:val="26"/>
          <w:szCs w:val="26"/>
        </w:rPr>
        <w:t xml:space="preserve">…"las normas y actos públicos, incluso privados, como requisito de su propia validez constitucional...deben ajustarse, no sólo a las normas o preceptos concretos de </w:t>
      </w:r>
      <w:smartTag w:uri="urn:schemas-microsoft-com:office:smarttags" w:element="PersonName">
        <w:smartTagPr>
          <w:attr w:name="ProductID" w:val="la Constituci￳n"/>
        </w:smartTagPr>
        <w:r w:rsidRPr="00CF6794">
          <w:rPr>
            <w:sz w:val="26"/>
            <w:szCs w:val="26"/>
          </w:rPr>
          <w:t>la Constitución</w:t>
        </w:r>
      </w:smartTag>
      <w:r w:rsidRPr="00CF6794">
        <w:rPr>
          <w:sz w:val="26"/>
          <w:szCs w:val="26"/>
        </w:rPr>
        <w:t xml:space="preserve">, sino también al sentido de justicia contenido en ella, el cual implica, a su vez, el cumplimiento de exigencias fundamentales de equidad, proporcionalidad y razonabilidad, entendidas como idoneidad para realizar los fines propuestos, los principios supuestos y los valores presupuestos en el Derecho de </w:t>
      </w:r>
      <w:smartTag w:uri="urn:schemas-microsoft-com:office:smarttags" w:element="PersonName">
        <w:smartTagPr>
          <w:attr w:name="ProductID" w:val="la Constituci￳n.  De"/>
        </w:smartTagPr>
        <w:r w:rsidRPr="00CF6794">
          <w:rPr>
            <w:sz w:val="26"/>
            <w:szCs w:val="26"/>
          </w:rPr>
          <w:t>la Constitución.  De</w:t>
        </w:r>
      </w:smartTag>
      <w:r w:rsidRPr="00CF6794">
        <w:rPr>
          <w:sz w:val="26"/>
          <w:szCs w:val="26"/>
        </w:rPr>
        <w:t xml:space="preserve"> allí que las leyes y, en general, las normas y los actos de autoridad requieran para su validez, no sólo haber sido promulgados por órganos competentes y procedimientos debidos, sino también pasar la revisión de fondo por su concordancia con las normas, principios y valores supremos de </w:t>
      </w:r>
      <w:smartTag w:uri="urn:schemas-microsoft-com:office:smarttags" w:element="PersonName">
        <w:smartTagPr>
          <w:attr w:name="ProductID" w:val="la Constituci￳n"/>
        </w:smartTagPr>
        <w:r w:rsidRPr="00CF6794">
          <w:rPr>
            <w:sz w:val="26"/>
            <w:szCs w:val="26"/>
          </w:rPr>
          <w:t>la Constitución</w:t>
        </w:r>
      </w:smartTag>
      <w:r w:rsidRPr="00CF6794">
        <w:rPr>
          <w:sz w:val="26"/>
          <w:szCs w:val="26"/>
        </w:rPr>
        <w:t xml:space="preserve"> -formal y material-, como son los de orden, paz, seguridad, justicia, libertad, etc. que se configuran como patrones de razonabilidad.  Es decir, que una norma o acto público o privado sólo es válido cuando, además de su conformidad formal con </w:t>
      </w:r>
      <w:smartTag w:uri="urn:schemas-microsoft-com:office:smarttags" w:element="PersonName">
        <w:smartTagPr>
          <w:attr w:name="ProductID" w:val="la Constituci￳n"/>
        </w:smartTagPr>
        <w:r w:rsidRPr="00CF6794">
          <w:rPr>
            <w:sz w:val="26"/>
            <w:szCs w:val="26"/>
          </w:rPr>
          <w:t>la Constitución</w:t>
        </w:r>
      </w:smartTag>
      <w:r w:rsidRPr="00CF6794">
        <w:rPr>
          <w:sz w:val="26"/>
          <w:szCs w:val="26"/>
        </w:rPr>
        <w:t xml:space="preserve">, esté razonablemente fundado y justificado conforme a la ideología constitucional.  De esta manera se procura, no sólo que la ley no sea irracional, arbitraria o caprichosa, sino además que los medios seleccionados tengan una relación real y sustancial con su objeto.  Se distingue entonces entre razonabilidad técnica, que es, como se dijo, la proporcionalidad entre medios y fines; razonabilidad jurídica, o la adecuación a </w:t>
      </w:r>
      <w:smartTag w:uri="urn:schemas-microsoft-com:office:smarttags" w:element="PersonName">
        <w:smartTagPr>
          <w:attr w:name="ProductID" w:val="la Constitución"/>
        </w:smartTagPr>
        <w:r w:rsidRPr="00CF6794">
          <w:rPr>
            <w:sz w:val="26"/>
            <w:szCs w:val="26"/>
          </w:rPr>
          <w:t>la Constitución</w:t>
        </w:r>
      </w:smartTag>
      <w:r w:rsidRPr="00CF6794">
        <w:rPr>
          <w:sz w:val="26"/>
          <w:szCs w:val="26"/>
        </w:rPr>
        <w:t xml:space="preserve">, en general, y en especial, a los derechos y libertades reconocidos o supuestos por ella; y finalmente, razonabilidad de los efectos sobre los derechos personales, en el sentido de no imponer a esos derechos otras limitaciones o cargas que las razonablemente derivadas de la naturaleza y régimen de los derechos mismos, ni mayores que las indispensables para que funcionen razonablemente en la vida de la sociedad"… (Voto No. </w:t>
      </w:r>
      <w:r w:rsidRPr="00CF6794">
        <w:rPr>
          <w:b/>
          <w:bCs/>
          <w:sz w:val="26"/>
          <w:szCs w:val="26"/>
        </w:rPr>
        <w:t>1739-92 de las 11:45 horas del 1º de julio de 1992 de la Sala Constitucional)</w:t>
      </w:r>
    </w:p>
    <w:p w:rsidR="009B33A6" w:rsidRPr="00CF6794" w:rsidRDefault="009B33A6" w:rsidP="009B33A6">
      <w:pPr>
        <w:rPr>
          <w:sz w:val="26"/>
          <w:szCs w:val="26"/>
        </w:rPr>
      </w:pPr>
    </w:p>
    <w:p w:rsidR="009B33A6" w:rsidRPr="00CF6794" w:rsidRDefault="009B33A6" w:rsidP="009B33A6">
      <w:pPr>
        <w:rPr>
          <w:color w:val="000000"/>
          <w:sz w:val="26"/>
          <w:szCs w:val="26"/>
          <w:lang w:val="es-MX"/>
        </w:rPr>
      </w:pPr>
      <w:r w:rsidRPr="00CF6794">
        <w:rPr>
          <w:sz w:val="26"/>
          <w:szCs w:val="26"/>
        </w:rPr>
        <w:t>Y concordante con lo anterior, el Voto 2004-14421, de la misma Instancia Judicial, nos señala:</w:t>
      </w:r>
    </w:p>
    <w:p w:rsidR="009B33A6" w:rsidRPr="00CF6794" w:rsidRDefault="009B33A6" w:rsidP="009B33A6">
      <w:pPr>
        <w:rPr>
          <w:sz w:val="26"/>
          <w:szCs w:val="26"/>
          <w:lang w:val="es-MX"/>
        </w:rPr>
      </w:pPr>
    </w:p>
    <w:p w:rsidR="009B33A6" w:rsidRDefault="009B33A6" w:rsidP="006D3031">
      <w:pPr>
        <w:ind w:left="567" w:right="474"/>
        <w:jc w:val="both"/>
        <w:rPr>
          <w:color w:val="000000"/>
          <w:sz w:val="26"/>
          <w:szCs w:val="26"/>
          <w:lang w:val="es-MX"/>
        </w:rPr>
      </w:pPr>
      <w:r w:rsidRPr="00CF6794">
        <w:rPr>
          <w:b/>
          <w:color w:val="000000"/>
          <w:sz w:val="26"/>
          <w:szCs w:val="26"/>
          <w:lang w:val="es-MX"/>
        </w:rPr>
        <w:t xml:space="preserve">…”IV.- PRINCIPIO DE INTERDICCION DE </w:t>
      </w:r>
      <w:smartTag w:uri="urn:schemas-microsoft-com:office:smarttags" w:element="PersonName">
        <w:smartTagPr>
          <w:attr w:name="ProductID" w:val="LA ARBITRARIEDAD"/>
        </w:smartTagPr>
        <w:r w:rsidRPr="00CF6794">
          <w:rPr>
            <w:b/>
            <w:color w:val="000000"/>
            <w:sz w:val="26"/>
            <w:szCs w:val="26"/>
            <w:lang w:val="es-MX"/>
          </w:rPr>
          <w:t>LA ARBITRARIEDAD</w:t>
        </w:r>
      </w:smartTag>
      <w:r w:rsidRPr="00CF6794">
        <w:rPr>
          <w:b/>
          <w:color w:val="000000"/>
          <w:sz w:val="26"/>
          <w:szCs w:val="26"/>
          <w:lang w:val="es-MX"/>
        </w:rPr>
        <w:t>, RAZONABILIDAD Y PROPORCIONALIDAD DE LOS ACTOS ADMINISTRATIVOS.</w:t>
      </w:r>
      <w:r w:rsidRPr="00CF6794">
        <w:rPr>
          <w:color w:val="000000"/>
          <w:sz w:val="26"/>
          <w:szCs w:val="26"/>
          <w:lang w:val="es-MX"/>
        </w:rPr>
        <w:t xml:space="preserve"> La regulación de los elementos constitutivos de carácter sustancial objetivos (motivo, contenido y fin) o </w:t>
      </w:r>
      <w:r w:rsidRPr="00CF6794">
        <w:rPr>
          <w:color w:val="000000"/>
          <w:sz w:val="26"/>
          <w:szCs w:val="26"/>
          <w:lang w:val="es-MX"/>
        </w:rPr>
        <w:lastRenderedPageBreak/>
        <w:t xml:space="preserve">subjetivos (competencia, legitimación e investidura) y formales (procedimiento y motivación) del acto administrativo, tienen por objeto racionalizar la función o conducta administrativa y, sobre todo, </w:t>
      </w:r>
      <w:r w:rsidRPr="00CF6794">
        <w:rPr>
          <w:i/>
          <w:color w:val="000000"/>
          <w:sz w:val="26"/>
          <w:szCs w:val="26"/>
          <w:lang w:val="es-MX"/>
        </w:rPr>
        <w:t>dotarla de logicidad o razonabilidad, evitando que las administraciones públicas sorprendan a los administrados con actos contradictorios, absurdos, desproporcionados o irracionales.</w:t>
      </w:r>
      <w:r w:rsidRPr="00CF6794">
        <w:rPr>
          <w:color w:val="000000"/>
          <w:sz w:val="26"/>
          <w:szCs w:val="26"/>
          <w:lang w:val="es-MX"/>
        </w:rPr>
        <w:t xml:space="preserve">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w:t>
      </w:r>
      <w:smartTag w:uri="urn:schemas-microsoft-com:office:smarttags" w:element="PersonName">
        <w:smartTagPr>
          <w:attr w:name="ProductID" w:val="la Constituci￳n Pol￭tica"/>
        </w:smartTagPr>
        <w:r w:rsidRPr="00CF6794">
          <w:rPr>
            <w:color w:val="000000"/>
            <w:sz w:val="26"/>
            <w:szCs w:val="26"/>
            <w:lang w:val="es-MX"/>
          </w:rPr>
          <w:t>la Constitución Política</w:t>
        </w:r>
      </w:smartTag>
      <w:r w:rsidRPr="00CF6794">
        <w:rPr>
          <w:color w:val="000000"/>
          <w:sz w:val="26"/>
          <w:szCs w:val="26"/>
          <w:lang w:val="es-MX"/>
        </w:rPr>
        <w:t xml:space="preserve"> al preceptuar que </w:t>
      </w:r>
      <w:r w:rsidRPr="00CF6794">
        <w:rPr>
          <w:i/>
          <w:color w:val="000000"/>
          <w:sz w:val="26"/>
          <w:szCs w:val="26"/>
          <w:lang w:val="es-MX"/>
        </w:rPr>
        <w:t>“Los funcionarios públicos son simples depositarios de la autoridad. Están obligados a cumplir los deberes que la ley les impone y no pueden arrogarse facultades no concedidas en ella (…)”</w:t>
      </w:r>
      <w:r w:rsidRPr="00CF6794">
        <w:rPr>
          <w:color w:val="000000"/>
          <w:sz w:val="26"/>
          <w:szCs w:val="26"/>
          <w:lang w:val="es-MX"/>
        </w:rPr>
        <w:t>.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w:t>
      </w:r>
      <w:r w:rsidR="006D3031">
        <w:rPr>
          <w:color w:val="000000"/>
          <w:sz w:val="26"/>
          <w:szCs w:val="26"/>
          <w:lang w:val="es-MX"/>
        </w:rPr>
        <w:t>”…</w:t>
      </w:r>
    </w:p>
    <w:p w:rsidR="006D3031" w:rsidRPr="006D3031" w:rsidRDefault="006D3031" w:rsidP="006D3031">
      <w:pPr>
        <w:ind w:left="567" w:right="474"/>
        <w:jc w:val="both"/>
        <w:rPr>
          <w:color w:val="000000"/>
          <w:sz w:val="26"/>
          <w:szCs w:val="26"/>
          <w:lang w:val="es-MX"/>
        </w:rPr>
      </w:pPr>
    </w:p>
    <w:p w:rsidR="00D235AB" w:rsidRPr="00CF6794" w:rsidRDefault="00D235AB" w:rsidP="003060E2">
      <w:pPr>
        <w:spacing w:before="100" w:beforeAutospacing="1" w:after="100" w:afterAutospacing="1"/>
        <w:ind w:right="49"/>
        <w:jc w:val="both"/>
        <w:rPr>
          <w:color w:val="000000"/>
          <w:sz w:val="26"/>
          <w:szCs w:val="26"/>
          <w:lang w:val="es-CR"/>
        </w:rPr>
      </w:pPr>
      <w:r w:rsidRPr="00CF6794">
        <w:rPr>
          <w:color w:val="000000"/>
          <w:sz w:val="26"/>
          <w:szCs w:val="26"/>
          <w:lang w:val="es-CR"/>
        </w:rPr>
        <w:t>Y siendo claro q</w:t>
      </w:r>
      <w:r w:rsidR="006F727D" w:rsidRPr="00CF6794">
        <w:rPr>
          <w:color w:val="000000"/>
          <w:sz w:val="26"/>
          <w:szCs w:val="26"/>
          <w:lang w:val="es-CR"/>
        </w:rPr>
        <w:t>ue la D</w:t>
      </w:r>
      <w:r w:rsidRPr="00CF6794">
        <w:rPr>
          <w:color w:val="000000"/>
          <w:sz w:val="26"/>
          <w:szCs w:val="26"/>
          <w:lang w:val="es-CR"/>
        </w:rPr>
        <w:t>esatención y/</w:t>
      </w:r>
      <w:r w:rsidR="006F727D" w:rsidRPr="00CF6794">
        <w:rPr>
          <w:color w:val="000000"/>
          <w:sz w:val="26"/>
          <w:szCs w:val="26"/>
          <w:lang w:val="es-CR"/>
        </w:rPr>
        <w:t>o I</w:t>
      </w:r>
      <w:r w:rsidRPr="00CF6794">
        <w:rPr>
          <w:color w:val="000000"/>
          <w:sz w:val="26"/>
          <w:szCs w:val="26"/>
          <w:lang w:val="es-CR"/>
        </w:rPr>
        <w:t>nfracción a tales Principios conlleva la Nulidad de lo Actuado</w:t>
      </w:r>
      <w:r w:rsidR="006F727D" w:rsidRPr="00CF6794">
        <w:rPr>
          <w:color w:val="000000"/>
          <w:sz w:val="26"/>
          <w:szCs w:val="26"/>
          <w:lang w:val="es-CR"/>
        </w:rPr>
        <w:t xml:space="preserve">. </w:t>
      </w:r>
      <w:r w:rsidRPr="00CF6794">
        <w:rPr>
          <w:color w:val="000000"/>
          <w:sz w:val="26"/>
          <w:szCs w:val="26"/>
          <w:lang w:val="es-CR"/>
        </w:rPr>
        <w:t>Nulidad aplica en la especie, toda vez que no es Concordante y/o Congruente el que en la misma Administración, por una parte, se Inicie un Procedimiento de Cancelación de una Concesión de Taxi por un Atraso o Incumplimiento en cuanto al Cambio de la Unidad Operativa por Modelo o Antigüedad y que, por otra parte y paralelamente, se Tramite, Autorice y Concrete un Trámite de Cambio de Unidad para que se Cumpla con el Mandato Normativo Contractual de la Sustitución de la Unidad Operativa por su Modelo o Antigüedad. Lo cual importa que se Autorice y Motive el Asumir Obligaciones por una Inversión Significativa por la Compra de la Unidad y que de Inmediato se Afecte la Situación en torno a la cual se da esa Inversión (Tenencia de Concesión)</w:t>
      </w:r>
      <w:r w:rsidR="006F727D" w:rsidRPr="00CF6794">
        <w:rPr>
          <w:color w:val="000000"/>
          <w:sz w:val="26"/>
          <w:szCs w:val="26"/>
          <w:lang w:val="es-CR"/>
        </w:rPr>
        <w:t xml:space="preserve"> y, </w:t>
      </w:r>
      <w:r w:rsidR="006F727D" w:rsidRPr="00CF6794">
        <w:rPr>
          <w:i/>
          <w:color w:val="000000"/>
          <w:sz w:val="26"/>
          <w:szCs w:val="26"/>
          <w:lang w:val="es-CR"/>
        </w:rPr>
        <w:t>per se</w:t>
      </w:r>
      <w:r w:rsidR="006F727D" w:rsidRPr="00CF6794">
        <w:rPr>
          <w:color w:val="000000"/>
          <w:sz w:val="26"/>
          <w:szCs w:val="26"/>
          <w:lang w:val="es-CR"/>
        </w:rPr>
        <w:t xml:space="preserve">, se perjudique </w:t>
      </w:r>
      <w:r w:rsidR="006F727D" w:rsidRPr="00CF6794">
        <w:rPr>
          <w:color w:val="000000"/>
          <w:sz w:val="26"/>
          <w:szCs w:val="26"/>
          <w:lang w:val="es-CR"/>
        </w:rPr>
        <w:lastRenderedPageBreak/>
        <w:t>el Servicio Público.</w:t>
      </w:r>
      <w:r w:rsidR="009B33A6" w:rsidRPr="00CF6794">
        <w:rPr>
          <w:color w:val="000000"/>
          <w:sz w:val="26"/>
          <w:szCs w:val="26"/>
          <w:lang w:val="es-CR"/>
        </w:rPr>
        <w:t xml:space="preserve"> Siendo tales Actuaciones Contradictorias, Incongruentes, Desproporcionadas y, por ende, Contrarias a los Principios antes enunciados. Y generando así, la Nulidad de lo Actuado.</w:t>
      </w:r>
    </w:p>
    <w:p w:rsidR="009B33A6" w:rsidRPr="00CF6794" w:rsidRDefault="009B33A6" w:rsidP="003060E2">
      <w:pPr>
        <w:spacing w:before="100" w:beforeAutospacing="1" w:after="100" w:afterAutospacing="1"/>
        <w:ind w:right="49"/>
        <w:jc w:val="both"/>
        <w:rPr>
          <w:color w:val="000000"/>
          <w:sz w:val="26"/>
          <w:szCs w:val="26"/>
          <w:lang w:val="es-CR"/>
        </w:rPr>
      </w:pPr>
      <w:r w:rsidRPr="00CF6794">
        <w:rPr>
          <w:color w:val="000000"/>
          <w:sz w:val="26"/>
          <w:szCs w:val="26"/>
          <w:lang w:val="es-CR"/>
        </w:rPr>
        <w:t>Y conforme todo lo acotado supra, se tienen como procedente el recurso de Apelación que se analiza, debiendo él mismo ser Declarado con Lugar. Restituyéndose al Recurrente en el Goce de sus Derechos Afectados y Dejándose sin efecto lo Actuado en Detrimento o Cancelación de su Concesión de Taxi.</w:t>
      </w:r>
    </w:p>
    <w:p w:rsidR="000636AE" w:rsidRPr="006D3031" w:rsidRDefault="006D3031" w:rsidP="006D3031">
      <w:pPr>
        <w:spacing w:before="100" w:beforeAutospacing="1" w:after="100" w:afterAutospacing="1"/>
        <w:ind w:right="616"/>
        <w:jc w:val="center"/>
        <w:rPr>
          <w:color w:val="000000"/>
          <w:sz w:val="26"/>
          <w:szCs w:val="26"/>
          <w:lang w:val="es-CR"/>
        </w:rPr>
      </w:pPr>
      <w:r>
        <w:rPr>
          <w:b/>
          <w:i/>
          <w:sz w:val="26"/>
          <w:szCs w:val="26"/>
        </w:rPr>
        <w:t>P</w:t>
      </w:r>
      <w:r w:rsidR="000636AE" w:rsidRPr="00CF6794">
        <w:rPr>
          <w:b/>
          <w:i/>
          <w:sz w:val="26"/>
          <w:szCs w:val="26"/>
        </w:rPr>
        <w:t>or Tanto</w:t>
      </w:r>
    </w:p>
    <w:p w:rsidR="000636AE" w:rsidRPr="00CF6794" w:rsidRDefault="000636AE" w:rsidP="000636AE">
      <w:pPr>
        <w:jc w:val="both"/>
        <w:rPr>
          <w:sz w:val="26"/>
          <w:szCs w:val="26"/>
        </w:rPr>
      </w:pPr>
      <w:r w:rsidRPr="00CF6794">
        <w:rPr>
          <w:b/>
          <w:sz w:val="26"/>
          <w:szCs w:val="26"/>
        </w:rPr>
        <w:t>I.-</w:t>
      </w:r>
      <w:r w:rsidRPr="00CF6794">
        <w:rPr>
          <w:sz w:val="26"/>
          <w:szCs w:val="26"/>
        </w:rPr>
        <w:t xml:space="preserve"> Conforme todo lo expuesto,</w:t>
      </w:r>
      <w:r w:rsidR="00793491" w:rsidRPr="00CF6794">
        <w:rPr>
          <w:sz w:val="26"/>
          <w:szCs w:val="26"/>
        </w:rPr>
        <w:t xml:space="preserve"> se </w:t>
      </w:r>
      <w:r w:rsidR="00793491" w:rsidRPr="00CF6794">
        <w:rPr>
          <w:b/>
          <w:sz w:val="26"/>
          <w:szCs w:val="26"/>
          <w:u w:val="single"/>
        </w:rPr>
        <w:t>DECLARA CON LUGAR</w:t>
      </w:r>
      <w:r w:rsidRPr="00CF6794">
        <w:rPr>
          <w:sz w:val="26"/>
          <w:szCs w:val="26"/>
        </w:rPr>
        <w:t xml:space="preserve"> el </w:t>
      </w:r>
      <w:r w:rsidRPr="00CF6794">
        <w:rPr>
          <w:b/>
          <w:sz w:val="26"/>
          <w:szCs w:val="26"/>
        </w:rPr>
        <w:t>RECURSO DE APELACIÓN</w:t>
      </w:r>
      <w:r w:rsidRPr="00CF6794">
        <w:rPr>
          <w:sz w:val="26"/>
          <w:szCs w:val="26"/>
        </w:rPr>
        <w:t xml:space="preserve"> en subsidio </w:t>
      </w:r>
      <w:r w:rsidR="00793491" w:rsidRPr="00CF6794">
        <w:rPr>
          <w:color w:val="000000" w:themeColor="text1"/>
          <w:sz w:val="26"/>
          <w:szCs w:val="26"/>
        </w:rPr>
        <w:t xml:space="preserve">interpuesto por el Señor </w:t>
      </w:r>
      <w:r w:rsidR="00353EFA">
        <w:rPr>
          <w:b/>
          <w:color w:val="000000" w:themeColor="text1"/>
          <w:sz w:val="26"/>
          <w:szCs w:val="26"/>
        </w:rPr>
        <w:t>MVVC</w:t>
      </w:r>
      <w:r w:rsidR="00793491" w:rsidRPr="00CF6794">
        <w:rPr>
          <w:color w:val="000000" w:themeColor="text1"/>
          <w:sz w:val="26"/>
          <w:szCs w:val="26"/>
        </w:rPr>
        <w:t xml:space="preserve">, de calidades conocidas y portador de la cédula de identidad número </w:t>
      </w:r>
      <w:r w:rsidR="00353EFA">
        <w:rPr>
          <w:color w:val="000000" w:themeColor="text1"/>
          <w:sz w:val="26"/>
          <w:szCs w:val="26"/>
        </w:rPr>
        <w:t>…</w:t>
      </w:r>
      <w:r w:rsidR="00793491" w:rsidRPr="00CF6794">
        <w:rPr>
          <w:color w:val="000000" w:themeColor="text1"/>
          <w:sz w:val="26"/>
          <w:szCs w:val="26"/>
        </w:rPr>
        <w:t xml:space="preserve">; contra el </w:t>
      </w:r>
      <w:r w:rsidR="00793491" w:rsidRPr="00CF6794">
        <w:rPr>
          <w:b/>
          <w:color w:val="000000" w:themeColor="text1"/>
          <w:sz w:val="26"/>
          <w:szCs w:val="26"/>
        </w:rPr>
        <w:t>Artículo 7.2.7 de la Sesión Ordinaria N. 61-2015</w:t>
      </w:r>
      <w:r w:rsidR="00793491" w:rsidRPr="00CF6794">
        <w:rPr>
          <w:color w:val="000000" w:themeColor="text1"/>
          <w:sz w:val="26"/>
          <w:szCs w:val="26"/>
        </w:rPr>
        <w:t>, celebrada el 04 de Noviembre del 2015 por la Junta Directiva del Consejo de Transporte Público.</w:t>
      </w:r>
    </w:p>
    <w:p w:rsidR="000636AE" w:rsidRPr="00CF6794" w:rsidRDefault="000636AE" w:rsidP="000636AE">
      <w:pPr>
        <w:pStyle w:val="Textoindependiente2"/>
        <w:tabs>
          <w:tab w:val="left" w:pos="2002"/>
        </w:tabs>
        <w:rPr>
          <w:b/>
          <w:sz w:val="26"/>
          <w:szCs w:val="26"/>
          <w:lang w:val="es-CR"/>
        </w:rPr>
      </w:pPr>
    </w:p>
    <w:p w:rsidR="004E5994" w:rsidRDefault="000636AE" w:rsidP="000636AE">
      <w:pPr>
        <w:jc w:val="both"/>
        <w:rPr>
          <w:sz w:val="26"/>
          <w:szCs w:val="26"/>
        </w:rPr>
      </w:pPr>
      <w:r w:rsidRPr="00CF6794">
        <w:rPr>
          <w:b/>
          <w:sz w:val="26"/>
          <w:szCs w:val="26"/>
        </w:rPr>
        <w:t>II</w:t>
      </w:r>
      <w:r w:rsidRPr="00CF6794">
        <w:rPr>
          <w:sz w:val="26"/>
          <w:szCs w:val="26"/>
        </w:rPr>
        <w:t xml:space="preserve">.- Conforme las determinaciones del numeral 22, inciso c), de la Ley No. 7969, se Da por Agotada la Vía Administrativa, toda vez que contra este Acto Resolutorio no procede Recurso Ordinario alguno. </w:t>
      </w:r>
    </w:p>
    <w:p w:rsidR="004E5994" w:rsidRDefault="004E5994" w:rsidP="000636AE">
      <w:pPr>
        <w:jc w:val="both"/>
        <w:rPr>
          <w:sz w:val="26"/>
          <w:szCs w:val="26"/>
        </w:rPr>
      </w:pPr>
    </w:p>
    <w:p w:rsidR="000636AE" w:rsidRPr="00CF6794" w:rsidRDefault="000636AE" w:rsidP="000636AE">
      <w:pPr>
        <w:jc w:val="both"/>
        <w:rPr>
          <w:sz w:val="26"/>
          <w:szCs w:val="26"/>
        </w:rPr>
      </w:pPr>
      <w:r w:rsidRPr="00CF6794">
        <w:rPr>
          <w:b/>
          <w:sz w:val="26"/>
          <w:szCs w:val="26"/>
        </w:rPr>
        <w:t>III.-</w:t>
      </w:r>
      <w:r w:rsidRPr="00CF6794">
        <w:rPr>
          <w:sz w:val="26"/>
          <w:szCs w:val="26"/>
        </w:rPr>
        <w:tab/>
        <w:t>Rige a partir de su Notificación.</w:t>
      </w:r>
    </w:p>
    <w:p w:rsidR="000636AE" w:rsidRPr="00CF6794" w:rsidRDefault="000636AE" w:rsidP="000636AE">
      <w:pPr>
        <w:pStyle w:val="Textoindependiente2"/>
        <w:tabs>
          <w:tab w:val="left" w:pos="2002"/>
        </w:tabs>
        <w:rPr>
          <w:b/>
          <w:sz w:val="26"/>
          <w:szCs w:val="26"/>
        </w:rPr>
      </w:pPr>
    </w:p>
    <w:p w:rsidR="000636AE" w:rsidRPr="00CF6794" w:rsidRDefault="000636AE" w:rsidP="000636AE">
      <w:pPr>
        <w:pStyle w:val="Textoindependiente2"/>
        <w:tabs>
          <w:tab w:val="left" w:pos="2002"/>
        </w:tabs>
        <w:rPr>
          <w:b/>
          <w:i/>
          <w:sz w:val="26"/>
          <w:szCs w:val="26"/>
        </w:rPr>
      </w:pPr>
      <w:r w:rsidRPr="00CF6794">
        <w:rPr>
          <w:b/>
          <w:i/>
          <w:sz w:val="26"/>
          <w:szCs w:val="26"/>
        </w:rPr>
        <w:t>NOTIFIQUESE.-</w:t>
      </w:r>
    </w:p>
    <w:p w:rsidR="000636AE" w:rsidRPr="00CF6794" w:rsidRDefault="000636AE" w:rsidP="000636AE">
      <w:pPr>
        <w:pStyle w:val="Textoindependiente2"/>
        <w:tabs>
          <w:tab w:val="left" w:pos="2002"/>
        </w:tabs>
        <w:rPr>
          <w:sz w:val="26"/>
          <w:szCs w:val="26"/>
          <w:lang w:val="es-CR"/>
        </w:rPr>
      </w:pPr>
    </w:p>
    <w:p w:rsidR="000636AE" w:rsidRPr="006D3031" w:rsidRDefault="000636AE" w:rsidP="006D3031">
      <w:pPr>
        <w:pStyle w:val="Sinespaciado"/>
        <w:rPr>
          <w:sz w:val="16"/>
          <w:szCs w:val="16"/>
        </w:rPr>
      </w:pPr>
    </w:p>
    <w:p w:rsidR="000636AE" w:rsidRPr="00CF6794" w:rsidRDefault="000636AE" w:rsidP="000636AE">
      <w:pPr>
        <w:rPr>
          <w:b/>
          <w:sz w:val="26"/>
          <w:szCs w:val="26"/>
        </w:rPr>
      </w:pPr>
    </w:p>
    <w:p w:rsidR="000636AE" w:rsidRPr="00CF6794" w:rsidRDefault="000636AE" w:rsidP="000636AE">
      <w:pPr>
        <w:pStyle w:val="Ttulo1"/>
        <w:jc w:val="center"/>
        <w:rPr>
          <w:rFonts w:ascii="Times New Roman" w:hAnsi="Times New Roman" w:cs="Times New Roman"/>
          <w:b/>
          <w:color w:val="auto"/>
          <w:sz w:val="26"/>
          <w:szCs w:val="26"/>
          <w:lang w:val="pt-BR"/>
        </w:rPr>
      </w:pPr>
      <w:r w:rsidRPr="00CF6794">
        <w:rPr>
          <w:rFonts w:ascii="Times New Roman" w:hAnsi="Times New Roman" w:cs="Times New Roman"/>
          <w:color w:val="auto"/>
          <w:sz w:val="26"/>
          <w:szCs w:val="26"/>
          <w:lang w:val="pt-BR"/>
        </w:rPr>
        <w:t>Lic. Carlos Miguel Portuguez Méndez</w:t>
      </w:r>
    </w:p>
    <w:p w:rsidR="000636AE" w:rsidRPr="00CF6794" w:rsidRDefault="000636AE" w:rsidP="000636AE">
      <w:pPr>
        <w:jc w:val="center"/>
        <w:rPr>
          <w:b/>
          <w:sz w:val="26"/>
          <w:szCs w:val="26"/>
        </w:rPr>
      </w:pPr>
      <w:r w:rsidRPr="00CF6794">
        <w:rPr>
          <w:b/>
          <w:sz w:val="26"/>
          <w:szCs w:val="26"/>
        </w:rPr>
        <w:t>PRESIDENTE</w:t>
      </w:r>
    </w:p>
    <w:p w:rsidR="000636AE" w:rsidRPr="00CF6794" w:rsidRDefault="000636AE" w:rsidP="000636AE">
      <w:pPr>
        <w:jc w:val="center"/>
        <w:rPr>
          <w:b/>
          <w:sz w:val="26"/>
          <w:szCs w:val="26"/>
        </w:rPr>
      </w:pPr>
    </w:p>
    <w:p w:rsidR="000636AE" w:rsidRDefault="000636AE" w:rsidP="000636AE">
      <w:pPr>
        <w:pStyle w:val="Sinespaciado"/>
        <w:rPr>
          <w:sz w:val="26"/>
          <w:szCs w:val="26"/>
        </w:rPr>
      </w:pPr>
    </w:p>
    <w:p w:rsidR="006D3031" w:rsidRPr="00CF6794" w:rsidRDefault="006D3031" w:rsidP="000636AE">
      <w:pPr>
        <w:pStyle w:val="Sinespaciado"/>
        <w:rPr>
          <w:sz w:val="26"/>
          <w:szCs w:val="26"/>
        </w:rPr>
      </w:pPr>
    </w:p>
    <w:p w:rsidR="000636AE" w:rsidRPr="00CF6794" w:rsidRDefault="000636AE" w:rsidP="000636AE">
      <w:pPr>
        <w:pStyle w:val="Ttulo1"/>
        <w:jc w:val="center"/>
        <w:rPr>
          <w:rFonts w:ascii="Times New Roman" w:hAnsi="Times New Roman" w:cs="Times New Roman"/>
          <w:b/>
          <w:color w:val="auto"/>
          <w:sz w:val="26"/>
          <w:szCs w:val="26"/>
        </w:rPr>
      </w:pPr>
      <w:r w:rsidRPr="00CF6794">
        <w:rPr>
          <w:rFonts w:ascii="Times New Roman" w:hAnsi="Times New Roman" w:cs="Times New Roman"/>
          <w:color w:val="auto"/>
          <w:sz w:val="26"/>
          <w:szCs w:val="26"/>
        </w:rPr>
        <w:t>Lic.  Mario Quesada Aguirre</w:t>
      </w:r>
      <w:r w:rsidRPr="00CF6794">
        <w:rPr>
          <w:rFonts w:ascii="Times New Roman" w:hAnsi="Times New Roman" w:cs="Times New Roman"/>
          <w:color w:val="auto"/>
          <w:sz w:val="26"/>
          <w:szCs w:val="26"/>
        </w:rPr>
        <w:tab/>
      </w:r>
      <w:r w:rsidRPr="00CF6794">
        <w:rPr>
          <w:rFonts w:ascii="Times New Roman" w:hAnsi="Times New Roman" w:cs="Times New Roman"/>
          <w:color w:val="auto"/>
          <w:sz w:val="26"/>
          <w:szCs w:val="26"/>
        </w:rPr>
        <w:tab/>
        <w:t xml:space="preserve">               Licda. Marta Luz Pérez Peláez</w:t>
      </w:r>
    </w:p>
    <w:p w:rsidR="000636AE" w:rsidRDefault="000636AE" w:rsidP="000636AE">
      <w:pPr>
        <w:rPr>
          <w:b/>
          <w:sz w:val="26"/>
          <w:szCs w:val="26"/>
        </w:rPr>
      </w:pPr>
      <w:r w:rsidRPr="00CF6794">
        <w:rPr>
          <w:b/>
          <w:sz w:val="26"/>
          <w:szCs w:val="26"/>
        </w:rPr>
        <w:t xml:space="preserve">                  JUEZ </w:t>
      </w:r>
      <w:r w:rsidRPr="00CF6794">
        <w:rPr>
          <w:b/>
          <w:sz w:val="26"/>
          <w:szCs w:val="26"/>
        </w:rPr>
        <w:tab/>
      </w:r>
      <w:r w:rsidRPr="00CF6794">
        <w:rPr>
          <w:b/>
          <w:sz w:val="26"/>
          <w:szCs w:val="26"/>
        </w:rPr>
        <w:tab/>
      </w:r>
      <w:r w:rsidRPr="00CF6794">
        <w:rPr>
          <w:b/>
          <w:sz w:val="26"/>
          <w:szCs w:val="26"/>
        </w:rPr>
        <w:tab/>
        <w:t xml:space="preserve">                         </w:t>
      </w:r>
      <w:r w:rsidRPr="00CF6794">
        <w:rPr>
          <w:b/>
          <w:sz w:val="26"/>
          <w:szCs w:val="26"/>
        </w:rPr>
        <w:tab/>
        <w:t xml:space="preserve">            JUEZA</w:t>
      </w: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b/>
          <w:sz w:val="26"/>
          <w:szCs w:val="26"/>
        </w:rPr>
      </w:pPr>
    </w:p>
    <w:p w:rsidR="00D96670" w:rsidRDefault="00D96670" w:rsidP="000636AE">
      <w:pPr>
        <w:rPr>
          <w:sz w:val="26"/>
          <w:szCs w:val="26"/>
        </w:rPr>
      </w:pPr>
      <w:bookmarkStart w:id="2" w:name="_GoBack"/>
      <w:bookmarkEnd w:id="2"/>
    </w:p>
    <w:p w:rsidR="00D96670" w:rsidRPr="00CF6794" w:rsidRDefault="00D96670" w:rsidP="000636AE">
      <w:pPr>
        <w:rPr>
          <w:sz w:val="26"/>
          <w:szCs w:val="26"/>
        </w:rPr>
      </w:pPr>
    </w:p>
    <w:sectPr w:rsidR="00D96670" w:rsidRPr="00CF67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31B" w:rsidRDefault="009F131B" w:rsidP="00C063BB">
      <w:r>
        <w:separator/>
      </w:r>
    </w:p>
  </w:endnote>
  <w:endnote w:type="continuationSeparator" w:id="0">
    <w:p w:rsidR="009F131B" w:rsidRDefault="009F131B" w:rsidP="00C0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31B" w:rsidRDefault="009F131B" w:rsidP="00C063BB">
      <w:r>
        <w:separator/>
      </w:r>
    </w:p>
  </w:footnote>
  <w:footnote w:type="continuationSeparator" w:id="0">
    <w:p w:rsidR="009F131B" w:rsidRDefault="009F131B" w:rsidP="00C06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A6E88"/>
    <w:multiLevelType w:val="hybridMultilevel"/>
    <w:tmpl w:val="645C7464"/>
    <w:lvl w:ilvl="0" w:tplc="96769EEC">
      <w:start w:val="1"/>
      <w:numFmt w:val="decimal"/>
      <w:lvlText w:val="%1."/>
      <w:lvlJc w:val="left"/>
      <w:pPr>
        <w:ind w:left="1770" w:hanging="360"/>
      </w:pPr>
      <w:rPr>
        <w:rFonts w:hint="default"/>
      </w:rPr>
    </w:lvl>
    <w:lvl w:ilvl="1" w:tplc="140A0019" w:tentative="1">
      <w:start w:val="1"/>
      <w:numFmt w:val="lowerLetter"/>
      <w:lvlText w:val="%2."/>
      <w:lvlJc w:val="left"/>
      <w:pPr>
        <w:ind w:left="2490" w:hanging="360"/>
      </w:pPr>
    </w:lvl>
    <w:lvl w:ilvl="2" w:tplc="140A001B" w:tentative="1">
      <w:start w:val="1"/>
      <w:numFmt w:val="lowerRoman"/>
      <w:lvlText w:val="%3."/>
      <w:lvlJc w:val="right"/>
      <w:pPr>
        <w:ind w:left="3210" w:hanging="180"/>
      </w:pPr>
    </w:lvl>
    <w:lvl w:ilvl="3" w:tplc="140A000F" w:tentative="1">
      <w:start w:val="1"/>
      <w:numFmt w:val="decimal"/>
      <w:lvlText w:val="%4."/>
      <w:lvlJc w:val="left"/>
      <w:pPr>
        <w:ind w:left="3930" w:hanging="360"/>
      </w:pPr>
    </w:lvl>
    <w:lvl w:ilvl="4" w:tplc="140A0019" w:tentative="1">
      <w:start w:val="1"/>
      <w:numFmt w:val="lowerLetter"/>
      <w:lvlText w:val="%5."/>
      <w:lvlJc w:val="left"/>
      <w:pPr>
        <w:ind w:left="4650" w:hanging="360"/>
      </w:pPr>
    </w:lvl>
    <w:lvl w:ilvl="5" w:tplc="140A001B" w:tentative="1">
      <w:start w:val="1"/>
      <w:numFmt w:val="lowerRoman"/>
      <w:lvlText w:val="%6."/>
      <w:lvlJc w:val="right"/>
      <w:pPr>
        <w:ind w:left="5370" w:hanging="180"/>
      </w:pPr>
    </w:lvl>
    <w:lvl w:ilvl="6" w:tplc="140A000F" w:tentative="1">
      <w:start w:val="1"/>
      <w:numFmt w:val="decimal"/>
      <w:lvlText w:val="%7."/>
      <w:lvlJc w:val="left"/>
      <w:pPr>
        <w:ind w:left="6090" w:hanging="360"/>
      </w:pPr>
    </w:lvl>
    <w:lvl w:ilvl="7" w:tplc="140A0019" w:tentative="1">
      <w:start w:val="1"/>
      <w:numFmt w:val="lowerLetter"/>
      <w:lvlText w:val="%8."/>
      <w:lvlJc w:val="left"/>
      <w:pPr>
        <w:ind w:left="6810" w:hanging="360"/>
      </w:pPr>
    </w:lvl>
    <w:lvl w:ilvl="8" w:tplc="140A001B" w:tentative="1">
      <w:start w:val="1"/>
      <w:numFmt w:val="lowerRoman"/>
      <w:lvlText w:val="%9."/>
      <w:lvlJc w:val="right"/>
      <w:pPr>
        <w:ind w:left="7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AE"/>
    <w:rsid w:val="000032CE"/>
    <w:rsid w:val="000636AE"/>
    <w:rsid w:val="0010232B"/>
    <w:rsid w:val="00232A1F"/>
    <w:rsid w:val="003060E2"/>
    <w:rsid w:val="00312E4F"/>
    <w:rsid w:val="0035026C"/>
    <w:rsid w:val="00353EFA"/>
    <w:rsid w:val="004E5994"/>
    <w:rsid w:val="00623B6B"/>
    <w:rsid w:val="006D3031"/>
    <w:rsid w:val="006F727D"/>
    <w:rsid w:val="007062D5"/>
    <w:rsid w:val="00791B1F"/>
    <w:rsid w:val="00793491"/>
    <w:rsid w:val="007B4BB1"/>
    <w:rsid w:val="00826A21"/>
    <w:rsid w:val="00871AD2"/>
    <w:rsid w:val="0089233C"/>
    <w:rsid w:val="008B6EE3"/>
    <w:rsid w:val="008C7868"/>
    <w:rsid w:val="00962EBF"/>
    <w:rsid w:val="00987F16"/>
    <w:rsid w:val="009B33A6"/>
    <w:rsid w:val="009B6AF2"/>
    <w:rsid w:val="009F131B"/>
    <w:rsid w:val="00AD415D"/>
    <w:rsid w:val="00C063BB"/>
    <w:rsid w:val="00C76B36"/>
    <w:rsid w:val="00CF6794"/>
    <w:rsid w:val="00D235AB"/>
    <w:rsid w:val="00D353C6"/>
    <w:rsid w:val="00D96670"/>
    <w:rsid w:val="00E06236"/>
    <w:rsid w:val="00EA1E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42A7347-52B4-4BF6-AFAF-9EF0C73D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AE"/>
    <w:pPr>
      <w:spacing w:after="0" w:line="240" w:lineRule="auto"/>
    </w:pPr>
    <w:rPr>
      <w:rFonts w:ascii="Times New Roman" w:eastAsia="Times New Roman" w:hAnsi="Times New Roman" w:cs="Times New Roman"/>
      <w:sz w:val="20"/>
      <w:szCs w:val="20"/>
      <w:lang w:val="es-ES_tradnl" w:eastAsia="es-CR"/>
    </w:rPr>
  </w:style>
  <w:style w:type="paragraph" w:styleId="Ttulo1">
    <w:name w:val="heading 1"/>
    <w:basedOn w:val="Normal"/>
    <w:next w:val="Normal"/>
    <w:link w:val="Ttulo1Car"/>
    <w:uiPriority w:val="9"/>
    <w:qFormat/>
    <w:rsid w:val="000636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0636AE"/>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636AE"/>
    <w:rPr>
      <w:rFonts w:ascii="Times New Roman" w:eastAsia="Times New Roman" w:hAnsi="Times New Roman" w:cs="Times New Roman"/>
      <w:b/>
      <w:sz w:val="24"/>
      <w:szCs w:val="20"/>
      <w:lang w:val="es-MX" w:eastAsia="es-CR"/>
    </w:rPr>
  </w:style>
  <w:style w:type="paragraph" w:styleId="Sinespaciado">
    <w:name w:val="No Spacing"/>
    <w:link w:val="SinespaciadoCar"/>
    <w:uiPriority w:val="1"/>
    <w:qFormat/>
    <w:rsid w:val="000636AE"/>
    <w:pPr>
      <w:widowControl w:val="0"/>
      <w:kinsoku w:val="0"/>
      <w:spacing w:after="0" w:line="240" w:lineRule="auto"/>
    </w:pPr>
    <w:rPr>
      <w:rFonts w:ascii="Times New Roman" w:eastAsiaTheme="minorEastAsia" w:hAnsi="Times New Roman" w:cs="Times New Roman"/>
      <w:sz w:val="24"/>
      <w:szCs w:val="24"/>
      <w:lang w:val="en-US" w:eastAsia="es-CR"/>
    </w:rPr>
  </w:style>
  <w:style w:type="character" w:customStyle="1" w:styleId="SinespaciadoCar">
    <w:name w:val="Sin espaciado Car"/>
    <w:basedOn w:val="Fuentedeprrafopredeter"/>
    <w:link w:val="Sinespaciado"/>
    <w:uiPriority w:val="1"/>
    <w:rsid w:val="000636AE"/>
    <w:rPr>
      <w:rFonts w:ascii="Times New Roman" w:eastAsiaTheme="minorEastAsia" w:hAnsi="Times New Roman" w:cs="Times New Roman"/>
      <w:sz w:val="24"/>
      <w:szCs w:val="24"/>
      <w:lang w:val="en-US" w:eastAsia="es-CR"/>
    </w:rPr>
  </w:style>
  <w:style w:type="character" w:customStyle="1" w:styleId="Ttulo1Car">
    <w:name w:val="Título 1 Car"/>
    <w:basedOn w:val="Fuentedeprrafopredeter"/>
    <w:link w:val="Ttulo1"/>
    <w:uiPriority w:val="9"/>
    <w:rsid w:val="000636AE"/>
    <w:rPr>
      <w:rFonts w:asciiTheme="majorHAnsi" w:eastAsiaTheme="majorEastAsia" w:hAnsiTheme="majorHAnsi" w:cstheme="majorBidi"/>
      <w:color w:val="2E74B5" w:themeColor="accent1" w:themeShade="BF"/>
      <w:sz w:val="32"/>
      <w:szCs w:val="32"/>
      <w:lang w:val="es-ES_tradnl" w:eastAsia="es-CR"/>
    </w:rPr>
  </w:style>
  <w:style w:type="paragraph" w:styleId="Textoindependiente2">
    <w:name w:val="Body Text 2"/>
    <w:basedOn w:val="Normal"/>
    <w:link w:val="Textoindependiente2Car"/>
    <w:rsid w:val="000636AE"/>
    <w:pPr>
      <w:jc w:val="both"/>
    </w:pPr>
    <w:rPr>
      <w:sz w:val="24"/>
      <w:lang w:val="es-MX" w:eastAsia="es-ES"/>
    </w:rPr>
  </w:style>
  <w:style w:type="character" w:customStyle="1" w:styleId="Textoindependiente2Car">
    <w:name w:val="Texto independiente 2 Car"/>
    <w:basedOn w:val="Fuentedeprrafopredeter"/>
    <w:link w:val="Textoindependiente2"/>
    <w:rsid w:val="000636AE"/>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0636AE"/>
    <w:pPr>
      <w:ind w:left="720"/>
      <w:contextualSpacing/>
    </w:pPr>
  </w:style>
  <w:style w:type="character" w:customStyle="1" w:styleId="CharacterStyle1">
    <w:name w:val="Character Style 1"/>
    <w:uiPriority w:val="99"/>
    <w:rsid w:val="00D353C6"/>
    <w:rPr>
      <w:sz w:val="25"/>
      <w:szCs w:val="25"/>
    </w:rPr>
  </w:style>
  <w:style w:type="character" w:styleId="Refdenotaalpie">
    <w:name w:val="footnote reference"/>
    <w:basedOn w:val="Fuentedeprrafopredeter"/>
    <w:uiPriority w:val="99"/>
    <w:semiHidden/>
    <w:unhideWhenUsed/>
    <w:rsid w:val="00C063BB"/>
    <w:rPr>
      <w:vertAlign w:val="superscript"/>
    </w:rPr>
  </w:style>
  <w:style w:type="character" w:customStyle="1" w:styleId="apple-converted-space">
    <w:name w:val="apple-converted-space"/>
    <w:basedOn w:val="Fuentedeprrafopredeter"/>
    <w:rsid w:val="00D235AB"/>
  </w:style>
  <w:style w:type="paragraph" w:customStyle="1" w:styleId="estilo18">
    <w:name w:val="estilo18"/>
    <w:basedOn w:val="Normal"/>
    <w:rsid w:val="00D235AB"/>
    <w:pPr>
      <w:spacing w:before="100" w:beforeAutospacing="1" w:after="100" w:afterAutospacing="1"/>
    </w:pPr>
    <w:rPr>
      <w:sz w:val="24"/>
      <w:szCs w:val="24"/>
      <w:lang w:val="es-CR"/>
    </w:rPr>
  </w:style>
  <w:style w:type="paragraph" w:customStyle="1" w:styleId="estilo1">
    <w:name w:val="estilo1"/>
    <w:basedOn w:val="Normal"/>
    <w:rsid w:val="00D235AB"/>
    <w:pPr>
      <w:spacing w:before="100" w:beforeAutospacing="1" w:after="100" w:afterAutospacing="1"/>
    </w:pPr>
    <w:rPr>
      <w:sz w:val="24"/>
      <w:szCs w:val="24"/>
      <w:lang w:val="es-CR"/>
    </w:rPr>
  </w:style>
  <w:style w:type="character" w:styleId="Textoennegrita">
    <w:name w:val="Strong"/>
    <w:basedOn w:val="Fuentedeprrafopredeter"/>
    <w:uiPriority w:val="22"/>
    <w:qFormat/>
    <w:rsid w:val="00D235AB"/>
    <w:rPr>
      <w:b/>
      <w:bCs/>
    </w:rPr>
  </w:style>
  <w:style w:type="paragraph" w:styleId="Encabezado">
    <w:name w:val="header"/>
    <w:basedOn w:val="Normal"/>
    <w:link w:val="EncabezadoCar"/>
    <w:uiPriority w:val="99"/>
    <w:unhideWhenUsed/>
    <w:rsid w:val="003060E2"/>
    <w:pPr>
      <w:tabs>
        <w:tab w:val="center" w:pos="4419"/>
        <w:tab w:val="right" w:pos="8838"/>
      </w:tabs>
    </w:pPr>
  </w:style>
  <w:style w:type="character" w:customStyle="1" w:styleId="EncabezadoCar">
    <w:name w:val="Encabezado Car"/>
    <w:basedOn w:val="Fuentedeprrafopredeter"/>
    <w:link w:val="Encabezado"/>
    <w:uiPriority w:val="99"/>
    <w:rsid w:val="003060E2"/>
    <w:rPr>
      <w:rFonts w:ascii="Times New Roman" w:eastAsia="Times New Roman" w:hAnsi="Times New Roman" w:cs="Times New Roman"/>
      <w:sz w:val="20"/>
      <w:szCs w:val="20"/>
      <w:lang w:val="es-ES_tradnl" w:eastAsia="es-CR"/>
    </w:rPr>
  </w:style>
  <w:style w:type="paragraph" w:styleId="Piedepgina">
    <w:name w:val="footer"/>
    <w:basedOn w:val="Normal"/>
    <w:link w:val="PiedepginaCar"/>
    <w:uiPriority w:val="99"/>
    <w:unhideWhenUsed/>
    <w:rsid w:val="003060E2"/>
    <w:pPr>
      <w:tabs>
        <w:tab w:val="center" w:pos="4419"/>
        <w:tab w:val="right" w:pos="8838"/>
      </w:tabs>
    </w:pPr>
  </w:style>
  <w:style w:type="character" w:customStyle="1" w:styleId="PiedepginaCar">
    <w:name w:val="Pie de página Car"/>
    <w:basedOn w:val="Fuentedeprrafopredeter"/>
    <w:link w:val="Piedepgina"/>
    <w:uiPriority w:val="99"/>
    <w:rsid w:val="003060E2"/>
    <w:rPr>
      <w:rFonts w:ascii="Times New Roman" w:eastAsia="Times New Roman" w:hAnsi="Times New Roman" w:cs="Times New Roman"/>
      <w:sz w:val="20"/>
      <w:szCs w:val="20"/>
      <w:lang w:val="es-ES_tradnl" w:eastAsia="es-CR"/>
    </w:rPr>
  </w:style>
  <w:style w:type="paragraph" w:styleId="Textodeglobo">
    <w:name w:val="Balloon Text"/>
    <w:basedOn w:val="Normal"/>
    <w:link w:val="TextodegloboCar"/>
    <w:uiPriority w:val="99"/>
    <w:semiHidden/>
    <w:unhideWhenUsed/>
    <w:rsid w:val="004E5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994"/>
    <w:rPr>
      <w:rFonts w:ascii="Segoe UI" w:eastAsia="Times New Roman" w:hAnsi="Segoe UI" w:cs="Segoe UI"/>
      <w:sz w:val="18"/>
      <w:szCs w:val="18"/>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3623</Words>
  <Characters>19931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8</cp:revision>
  <cp:lastPrinted>2016-05-04T16:20:00Z</cp:lastPrinted>
  <dcterms:created xsi:type="dcterms:W3CDTF">2016-05-04T16:17:00Z</dcterms:created>
  <dcterms:modified xsi:type="dcterms:W3CDTF">2019-07-18T15:49:00Z</dcterms:modified>
</cp:coreProperties>
</file>